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sz w:val="28"/>
          <w:szCs w:val="28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27750" cy="9191625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057103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flipH="0" flipV="0">
                          <a:off x="0" y="0"/>
                          <a:ext cx="6127749" cy="91916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82.5pt;height:723.8pt;mso-wrap-distance-left:0.0pt;mso-wrap-distance-top:0.0pt;mso-wrap-distance-right:0.0pt;mso-wrap-distance-bottom:0.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54"/>
        <w:ind w:firstLine="0"/>
        <w:jc w:val="center"/>
        <w:spacing w:line="280" w:lineRule="exact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</w:r>
      <w:r>
        <w:rPr>
          <w:b/>
          <w:iCs/>
          <w:color w:val="000000"/>
          <w:sz w:val="28"/>
          <w:szCs w:val="26"/>
        </w:rPr>
        <w:t xml:space="preserve">Извещение </w:t>
      </w:r>
      <w:r/>
    </w:p>
    <w:p>
      <w:pPr>
        <w:pStyle w:val="954"/>
        <w:ind w:firstLine="0"/>
        <w:jc w:val="center"/>
        <w:spacing w:line="280" w:lineRule="exact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b/>
          <w:iCs/>
          <w:color w:val="000000"/>
          <w:sz w:val="28"/>
          <w:szCs w:val="26"/>
        </w:rPr>
        <w:t xml:space="preserve">о проведении аукциона </w:t>
      </w:r>
      <w:r>
        <w:rPr>
          <w:b/>
          <w:iCs/>
          <w:color w:val="000000"/>
          <w:sz w:val="28"/>
          <w:szCs w:val="26"/>
        </w:rPr>
        <w:t xml:space="preserve">по продаже </w:t>
      </w:r>
      <w:r>
        <w:rPr>
          <w:b/>
          <w:iCs/>
          <w:color w:val="000000"/>
          <w:sz w:val="28"/>
          <w:szCs w:val="26"/>
        </w:rPr>
        <w:t xml:space="preserve">изъятого</w:t>
      </w:r>
      <w:r>
        <w:rPr>
          <w:b/>
          <w:iCs/>
          <w:color w:val="000000"/>
          <w:sz w:val="28"/>
          <w:szCs w:val="26"/>
        </w:rPr>
        <w:t xml:space="preserve"> на основании решения суда </w:t>
      </w:r>
      <w:r>
        <w:rPr>
          <w:b/>
          <w:iCs/>
          <w:color w:val="000000"/>
          <w:sz w:val="28"/>
          <w:szCs w:val="26"/>
        </w:rPr>
        <w:t xml:space="preserve">объекта</w:t>
      </w:r>
      <w:r>
        <w:rPr>
          <w:b/>
          <w:iCs/>
          <w:color w:val="000000"/>
          <w:sz w:val="28"/>
          <w:szCs w:val="26"/>
        </w:rPr>
        <w:t xml:space="preserve"> культурного наследия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федерального значения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«Дом Каликиной, </w:t>
      </w:r>
      <w:r/>
    </w:p>
    <w:p>
      <w:pPr>
        <w:pStyle w:val="954"/>
        <w:ind w:firstLine="0"/>
        <w:jc w:val="center"/>
        <w:spacing w:line="280" w:lineRule="exact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кон.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X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VIII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.»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, расположенного по адресу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pStyle w:val="954"/>
        <w:ind w:firstLine="0"/>
        <w:jc w:val="center"/>
        <w:spacing w:line="280" w:lineRule="exact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Костромская область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г. Галич,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ул. Луначарского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д. 32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6"/>
          <w:highlight w:val="none"/>
        </w:rPr>
      </w:pPr>
      <w:r>
        <w:rPr>
          <w:bCs/>
          <w:sz w:val="28"/>
          <w:highlight w:val="none"/>
        </w:rPr>
      </w:r>
      <w:r>
        <w:rPr>
          <w:bCs/>
          <w:sz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sz w:val="28"/>
          <w:szCs w:val="26"/>
          <w:highlight w:val="none"/>
        </w:rPr>
      </w:pPr>
      <w:r>
        <w:rPr>
          <w:rFonts w:ascii="Times New Roman" w:hAnsi="Times New Roman"/>
          <w:iCs/>
          <w:sz w:val="28"/>
          <w:szCs w:val="26"/>
          <w:highlight w:val="none"/>
          <w:lang w:eastAsia="ru-RU"/>
        </w:rPr>
      </w:r>
      <w:r>
        <w:rPr>
          <w:bCs/>
          <w:sz w:val="28"/>
        </w:rPr>
        <w:t xml:space="preserve">Департамент имущественных и земельных отношений Костромской области </w:t>
      </w:r>
      <w:r>
        <w:rPr>
          <w:bCs/>
          <w:sz w:val="28"/>
        </w:rPr>
        <w:t xml:space="preserve">(</w:t>
      </w:r>
      <w:r>
        <w:rPr>
          <w:bCs/>
          <w:sz w:val="28"/>
        </w:rPr>
        <w:t xml:space="preserve">далее – Департамент</w:t>
      </w:r>
      <w:r>
        <w:rPr>
          <w:bCs/>
          <w:sz w:val="28"/>
        </w:rPr>
        <w:t xml:space="preserve">, Организатор) объявляет о проведении</w:t>
      </w:r>
      <w:r>
        <w:rPr>
          <w:bCs/>
          <w:sz w:val="28"/>
          <w:highlight w:val="white"/>
        </w:rPr>
        <w:t xml:space="preserve"> </w:t>
      </w:r>
      <w:r>
        <w:rPr>
          <w:b/>
          <w:sz w:val="28"/>
          <w:highlight w:val="white"/>
        </w:rPr>
        <w:t xml:space="preserve">1 декабря </w:t>
      </w:r>
      <w:r>
        <w:rPr>
          <w:b/>
          <w:sz w:val="28"/>
          <w:highlight w:val="white"/>
        </w:rPr>
        <w:t xml:space="preserve">                         2</w:t>
      </w:r>
      <w:r>
        <w:rPr>
          <w:b/>
          <w:sz w:val="28"/>
          <w:highlight w:val="white"/>
        </w:rPr>
        <w:t xml:space="preserve">023 года</w:t>
      </w:r>
      <w:r>
        <w:rPr>
          <w:b/>
          <w:sz w:val="28"/>
          <w:highlight w:val="white"/>
        </w:rPr>
        <w:t xml:space="preserve"> в 11.00 часов </w:t>
      </w:r>
      <w:r>
        <w:rPr>
          <w:b/>
          <w:sz w:val="28"/>
          <w:highlight w:val="white"/>
        </w:rPr>
        <w:t xml:space="preserve">по московскому времени</w:t>
      </w:r>
      <w:r>
        <w:rPr>
          <w:bCs/>
          <w:sz w:val="28"/>
          <w:highlight w:val="white"/>
        </w:rPr>
        <w:t xml:space="preserve"> аукциона </w:t>
      </w:r>
      <w:r>
        <w:rPr>
          <w:bCs/>
          <w:sz w:val="28"/>
          <w:highlight w:val="white"/>
        </w:rPr>
        <w:t xml:space="preserve">по продаже </w:t>
      </w:r>
      <w:r>
        <w:rPr>
          <w:b w:val="0"/>
          <w:iCs/>
          <w:color w:val="000000"/>
          <w:sz w:val="28"/>
          <w:szCs w:val="26"/>
          <w:highlight w:val="white"/>
        </w:rPr>
        <w:t xml:space="preserve">изъ</w:t>
      </w:r>
      <w:r>
        <w:rPr>
          <w:b w:val="0"/>
          <w:iCs/>
          <w:color w:val="000000"/>
          <w:sz w:val="28"/>
          <w:szCs w:val="26"/>
        </w:rPr>
        <w:t xml:space="preserve">ятого</w:t>
      </w:r>
      <w:r>
        <w:rPr>
          <w:b w:val="0"/>
          <w:iCs/>
          <w:color w:val="000000"/>
          <w:sz w:val="28"/>
          <w:szCs w:val="26"/>
        </w:rPr>
        <w:t xml:space="preserve"> на основании решения суда </w:t>
      </w:r>
      <w:r>
        <w:rPr>
          <w:b w:val="0"/>
          <w:iCs/>
          <w:color w:val="000000"/>
          <w:sz w:val="28"/>
          <w:szCs w:val="26"/>
        </w:rPr>
        <w:t xml:space="preserve">объекта</w:t>
      </w:r>
      <w:r>
        <w:rPr>
          <w:b w:val="0"/>
          <w:iCs/>
          <w:color w:val="000000"/>
          <w:sz w:val="28"/>
          <w:szCs w:val="26"/>
        </w:rPr>
        <w:t xml:space="preserve"> культурного наследия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highlight w:val="none"/>
        </w:rPr>
        <w:t xml:space="preserve">федерального значения 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«Дом Каликиной, кон. 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X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VIII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.»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, расположенного по адресу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 Костромская область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en-US"/>
        </w:rPr>
        <w:t xml:space="preserve">                       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г. Галич, ул. Луначарского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 д. 32, </w:t>
      </w:r>
      <w:r>
        <w:rPr>
          <w:bCs/>
          <w:sz w:val="28"/>
        </w:rPr>
        <w:t xml:space="preserve">в электронной форме </w:t>
      </w:r>
      <w:r>
        <w:rPr>
          <w:bCs/>
          <w:sz w:val="28"/>
        </w:rPr>
        <w:t xml:space="preserve">(далее</w:t>
      </w:r>
      <w:r>
        <w:rPr>
          <w:bCs/>
          <w:sz w:val="28"/>
        </w:rPr>
        <w:t xml:space="preserve"> </w:t>
      </w:r>
      <w:r>
        <w:rPr>
          <w:bCs/>
          <w:sz w:val="28"/>
        </w:rPr>
        <w:t xml:space="preserve">– </w:t>
      </w:r>
      <w:r>
        <w:rPr>
          <w:bCs/>
          <w:sz w:val="28"/>
        </w:rPr>
        <w:t xml:space="preserve">продажа имущества).</w:t>
      </w:r>
      <w:r>
        <w:rPr>
          <w:bCs/>
          <w:sz w:val="28"/>
        </w:rPr>
        <w:t xml:space="preserve"> </w:t>
      </w:r>
      <w:r>
        <w:rPr>
          <w:rFonts w:ascii="Times New Roman" w:hAnsi="Times New Roman"/>
          <w:iCs/>
          <w:sz w:val="28"/>
          <w:szCs w:val="26"/>
          <w:highlight w:val="none"/>
          <w:lang w:eastAsia="ru-RU"/>
        </w:rPr>
      </w:r>
      <w:r/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6"/>
          <w:highlight w:val="none"/>
          <w:lang w:eastAsia="ru-RU"/>
        </w:rPr>
      </w:r>
      <w:r>
        <w:rPr>
          <w:bCs/>
          <w:sz w:val="28"/>
        </w:rPr>
        <w:t xml:space="preserve">Продажа имущества проводится в </w:t>
      </w:r>
      <w:r>
        <w:rPr>
          <w:bCs/>
          <w:sz w:val="28"/>
        </w:rPr>
        <w:t xml:space="preserve">соответствии с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 Гражданским кодексом Российской Федерации, 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Федеральным законом от 25 июня 2002 года № 73-ФЗ                     «Об объектах культурного наследия (памятниках истории и культуры) народов Российской Федерации»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(</w:t>
      </w:r>
      <w:r>
        <w:rPr>
          <w:sz w:val="28"/>
          <w:szCs w:val="28"/>
        </w:rPr>
        <w:t xml:space="preserve">далее - Федеральный закон № 73-ФЗ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постановлени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ем администраци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и Костромской об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ласти от 30 августа 2021 года № 386-а                                «Об утверждении порядка проведения публичных торгов по продаже изъятых на основании решения суда объектов культурного наследия (памятников истории и культуры) народов Российской Федерации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,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 включенных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 или земельных участков, в границах которых располагаются объекты археологическо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го наследия», </w:t>
      </w:r>
      <w:r>
        <w:rPr>
          <w:rFonts w:ascii="Times New Roman" w:hAnsi="Times New Roman"/>
          <w:iCs/>
          <w:sz w:val="28"/>
          <w:szCs w:val="26"/>
          <w:lang w:eastAsia="ru-RU"/>
        </w:rPr>
        <w:t xml:space="preserve">решением Галичского районного суда Костромской области от 5 ноября 2020 года по делу № 2-608/2020.</w:t>
      </w:r>
      <w:r>
        <w:rPr>
          <w:rFonts w:ascii="Times New Roman CYR" w:hAnsi="Times New Roman CYR"/>
          <w:color w:val="000000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 CYR" w:hAnsi="Times New Roman CYR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iCs/>
          <w:sz w:val="28"/>
          <w:szCs w:val="26"/>
          <w:lang w:eastAsia="ru-RU"/>
        </w:rPr>
        <w:t xml:space="preserve"> </w:t>
      </w:r>
      <w:r/>
    </w:p>
    <w:tbl>
      <w:tblPr>
        <w:tblW w:w="9743" w:type="dxa"/>
        <w:tblInd w:w="-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835"/>
        <w:gridCol w:w="6447"/>
      </w:tblGrid>
      <w:tr>
        <w:trPr>
          <w:trHeight w:val="1518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1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Инициатор аукциона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Инспекция по охране объектов культурного наследия Костромской области </w:t>
            </w:r>
            <w:r>
              <w:rPr>
                <w:sz w:val="24"/>
              </w:rPr>
            </w:r>
            <w:r/>
          </w:p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</w:rPr>
              <w:t xml:space="preserve">Место нахождения: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156005, Костромская область,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val="en-US"/>
              </w:rPr>
              <w:t xml:space="preserve">                       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г. Кострома, ул. Советская, д. 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u w:val="none"/>
              </w:rPr>
              <w:t xml:space="preserve">телефон 8(4942) 37-16-51,                                                          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u w:val="none"/>
                <w:lang w:val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u w:val="none"/>
              </w:rPr>
              <w:t xml:space="preserve"> </w:t>
            </w:r>
            <w:hyperlink r:id="rId11" w:tooltip="mailto:ikn@adm44.ru" w:history="1">
              <w:r>
                <w:rPr>
                  <w:rStyle w:val="896"/>
                  <w:rFonts w:ascii="Times New Roman" w:hAnsi="Times New Roman" w:eastAsia="Times New Roman" w:cs="Times New Roman"/>
                  <w:color w:val="000000" w:themeColor="text1"/>
                  <w:sz w:val="24"/>
                  <w:u w:val="none"/>
                </w:rPr>
                <w:t xml:space="preserve">ikn@adm44.ru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u w:val="none"/>
              </w:rPr>
              <w:t xml:space="preserve">.       </w:t>
            </w:r>
            <w:r>
              <w:rPr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2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Организатор аукциона 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Департамент имущественных и земельных отношений Костромской области </w:t>
            </w:r>
            <w:r>
              <w:rPr>
                <w:sz w:val="24"/>
              </w:rPr>
            </w:r>
            <w:r/>
          </w:p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Место нахождения: 1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56013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bCs/>
                <w:sz w:val="24"/>
                <w:lang w:val="en-US"/>
              </w:rPr>
              <w:t xml:space="preserve">                          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г. Кострома, ул.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Калиновская, д. 38</w:t>
            </w:r>
            <w:r>
              <w:rPr>
                <w:sz w:val="24"/>
              </w:rPr>
            </w:r>
            <w:r/>
          </w:p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Ответственн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ое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вопросам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проведения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продажи имущества: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Бушманова Наталья Александровна,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тел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ефон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u w:val="no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u w:val="none"/>
              </w:rPr>
              <w:t xml:space="preserve">(4942)  45-20-12,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u w:val="none"/>
              </w:rPr>
              <w:t xml:space="preserve">8(4942) 45-70-94,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6"/>
                <w:u w:val="none"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u w:val="none"/>
                <w:lang w:val="en-US"/>
              </w:rPr>
              <w:t xml:space="preserve">: </w:t>
            </w:r>
            <w:r>
              <w:rPr>
                <w:color w:val="000000" w:themeColor="text1"/>
                <w:u w:val="none"/>
              </w:rPr>
            </w:r>
            <w:hyperlink r:id="rId12" w:tooltip="mailto:dizo@kostroma.gov.ru." w:history="1">
              <w:r>
                <w:rPr>
                  <w:rStyle w:val="977"/>
                  <w:color w:val="000000" w:themeColor="text1"/>
                  <w:u w:val="none"/>
                </w:rPr>
                <w:t xml:space="preserve">dizo@kostroma.gov.ru</w:t>
              </w:r>
              <w:r>
                <w:rPr>
                  <w:rStyle w:val="977"/>
                  <w:color w:val="000000" w:themeColor="text1"/>
                  <w:u w:val="none"/>
                </w:rPr>
                <w:t xml:space="preserve">.</w:t>
              </w:r>
            </w:hyperlink>
            <w:r>
              <w:rPr>
                <w:color w:val="000000" w:themeColor="text1"/>
                <w:u w:val="none"/>
              </w:rPr>
              <w:t xml:space="preserve"> 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3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Оператор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продажи имущества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Электронная площадка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РТС-тендер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» (Имущественные торги) (далее – электронная площадка, Оператор)</w:t>
            </w:r>
            <w:r>
              <w:rPr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ООО «РТС-тендер»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121151, г. Москва, набережная Тараса Шевченко,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д. 23-А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.</w:t>
            </w:r>
            <w:r>
              <w:rPr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Сайт: </w:t>
            </w:r>
            <w:hyperlink r:id="rId13" w:tooltip="http://www.rts-tender.ru" w:history="1">
              <w:r>
                <w:rPr>
                  <w:rStyle w:val="896"/>
                  <w:rFonts w:ascii="Times New Roman" w:hAnsi="Times New Roman" w:eastAsia="Times New Roman" w:cs="Times New Roman"/>
                  <w:bCs/>
                  <w:color w:val="000000" w:themeColor="text1"/>
                  <w:sz w:val="24"/>
                </w:rPr>
                <w:t xml:space="preserve">www.rts-tender.ru</w:t>
              </w:r>
            </w:hyperlink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</w:rPr>
              <w:t xml:space="preserve">.</w:t>
            </w:r>
            <w:r>
              <w:rPr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Адрес электронной почты: iSupport@rts-tender.ru</w:t>
            </w:r>
            <w:r>
              <w:rPr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тел.: +7 (499) 653-55-00, +7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800)-77-55-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800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          </w:t>
            </w:r>
            <w:r>
              <w:rPr>
                <w:rFonts w:ascii="Times New Roman" w:hAnsi="Times New Roman" w:eastAsia="Times New Roman" w:cs="Times New Roman"/>
                <w:bCs/>
                <w:sz w:val="24"/>
              </w:rPr>
              <w:t xml:space="preserve">факс: +7 (495) 733-95-19</w:t>
            </w:r>
            <w:r>
              <w:rPr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4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Сведения о решении суда, на основании которого принято решение об изъятии объектов у собственника путем продажи с публичных торгов 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tabs>
                <w:tab w:val="left" w:pos="2021" w:leader="none"/>
              </w:tabs>
              <w:rPr>
                <w:rFonts w:ascii="Times New Roman" w:hAnsi="Times New Roman" w:eastAsia="Times New Roman" w:cs="Times New Roman"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</w:rPr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Решение Галичского районного суда Костромской области от 5 ноября 2020 года по делу № 2-608/2020 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об изъятии у Тихонова А.М., Михайловой М.Л. </w:t>
            </w:r>
            <w:r>
              <w:rPr>
                <w:rFonts w:ascii="Times New Roman" w:hAnsi="Times New Roman"/>
                <w:iCs/>
                <w:sz w:val="24"/>
                <w:szCs w:val="26"/>
                <w:highlight w:val="none"/>
                <w:lang w:eastAsia="ru-RU"/>
              </w:rPr>
              <w:t xml:space="preserve"> принадлежащего им на праве общей долевой собственности 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(доля в праве каждого 1/2)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 бесхозяйственно-содержимого нежилого здания с кадастровым номером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</w:rPr>
              <w:t xml:space="preserve">4:26:021301:109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площадью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</w:rPr>
              <w:t xml:space="preserve"> 406,1 кв.м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  <w:lang w:val="ru-RU"/>
              </w:rPr>
              <w:t xml:space="preserve">,</w:t>
            </w:r>
            <w:r>
              <w:rPr>
                <w:sz w:val="24"/>
              </w:rPr>
              <w:t xml:space="preserve"> являющегося </w:t>
            </w:r>
            <w:r>
              <w:rPr>
                <w:b w:val="0"/>
                <w:iCs/>
                <w:color w:val="000000"/>
                <w:sz w:val="24"/>
                <w:szCs w:val="26"/>
              </w:rPr>
              <w:t xml:space="preserve">объектом</w:t>
            </w:r>
            <w:r>
              <w:rPr>
                <w:b w:val="0"/>
                <w:iCs/>
                <w:color w:val="000000"/>
                <w:sz w:val="24"/>
                <w:szCs w:val="26"/>
              </w:rPr>
              <w:t xml:space="preserve"> культурного наследия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8"/>
                <w:highlight w:val="none"/>
              </w:rPr>
              <w:t xml:space="preserve">федерального значения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«Дом Каликиной, кон.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VIII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.»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расположенного по адресу: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Костромская область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Галичский район,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г. Галич,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д. 3</w:t>
            </w:r>
            <w:r>
              <w:rPr>
                <w:rFonts w:ascii="Times New Roman" w:hAnsi="Times New Roman"/>
                <w:iCs/>
                <w:sz w:val="24"/>
                <w:szCs w:val="26"/>
                <w:highlight w:val="none"/>
                <w:lang w:eastAsia="ru-RU"/>
              </w:rPr>
              <w:t xml:space="preserve">2, и принадлежащего им на праве общей долевой собственности 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(доля в праве каждого 1/2), земельных участков с 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  <w:lang w:val="ru-RU"/>
              </w:rPr>
              <w:t xml:space="preserve">кадастровым номером 44:26:021301:238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, 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  <w:lang w:val="ru-RU"/>
              </w:rPr>
              <w:t xml:space="preserve">площадью 363 кв.м,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 и с 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  <w:lang w:val="ru-RU"/>
              </w:rPr>
              <w:t xml:space="preserve">кадастровым номером 44:26:021301:239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, 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  <w:lang w:val="ru-RU"/>
              </w:rPr>
              <w:t xml:space="preserve">площадью 334 кв.м, </w:t>
            </w:r>
            <w:r>
              <w:rPr>
                <w:rFonts w:ascii="Times New Roman" w:hAnsi="Times New Roman"/>
                <w:iCs/>
                <w:sz w:val="24"/>
                <w:szCs w:val="26"/>
                <w:highlight w:val="none"/>
                <w:lang w:eastAsia="ru-RU"/>
              </w:rPr>
              <w:t xml:space="preserve">расположенных по адресу: 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</w:rPr>
              <w:t xml:space="preserve">Костромская область,</w:t>
            </w:r>
            <w:r>
              <w:rPr>
                <w:rFonts w:ascii="Times New Roman CYR" w:hAnsi="Times New Roman CYR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Галичский район,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г. Галич,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д. 32</w:t>
            </w:r>
            <w:r>
              <w:rPr>
                <w:rFonts w:ascii="Times New Roman" w:hAnsi="Times New Roman"/>
                <w:iCs/>
                <w:sz w:val="24"/>
                <w:szCs w:val="26"/>
                <w:highlight w:val="none"/>
                <w:lang w:eastAsia="ru-RU"/>
              </w:rPr>
              <w:t xml:space="preserve">, с последующей реализацией </w:t>
            </w:r>
            <w:r>
              <w:rPr>
                <w:rFonts w:ascii="Times New Roman" w:hAnsi="Times New Roman"/>
                <w:iCs/>
                <w:sz w:val="24"/>
                <w:szCs w:val="26"/>
                <w:highlight w:val="none"/>
                <w:lang w:eastAsia="ru-RU"/>
              </w:rPr>
              <w:t xml:space="preserve">их </w:t>
            </w:r>
            <w:r>
              <w:rPr>
                <w:rFonts w:ascii="Times New Roman" w:hAnsi="Times New Roman"/>
                <w:iCs/>
                <w:sz w:val="24"/>
                <w:szCs w:val="26"/>
                <w:highlight w:val="none"/>
                <w:lang w:eastAsia="ru-RU"/>
              </w:rPr>
              <w:t xml:space="preserve">путем продажи с публичных торгов по основаниям пункта 1 статьи 54 </w:t>
            </w:r>
            <w:r>
              <w:rPr>
                <w:rFonts w:ascii="Times New Roman" w:hAnsi="Times New Roman"/>
                <w:iCs/>
                <w:sz w:val="24"/>
                <w:szCs w:val="26"/>
                <w:lang w:eastAsia="ru-RU"/>
              </w:rPr>
              <w:t xml:space="preserve">Федерального закона                          № 73-ФЗ</w:t>
            </w:r>
            <w:r>
              <w:rPr>
                <w:sz w:val="24"/>
              </w:rPr>
              <w:t xml:space="preserve">.</w:t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5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Место, дата, время проведения аукциона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Место проведения аукциона: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электронная площадка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</w:rPr>
              <w:t xml:space="preserve">РТС-тендер</w:t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hyperlink r:id="rId14" w:tooltip="http://www.rts-tender.ru" w:history="1">
              <w:r>
                <w:rPr>
                  <w:rStyle w:val="896"/>
                  <w:rFonts w:ascii="Times New Roman" w:hAnsi="Times New Roman" w:eastAsia="Times New Roman" w:cs="Times New Roman"/>
                  <w:color w:val="000000" w:themeColor="text1"/>
                  <w:sz w:val="24"/>
                  <w:highlight w:val="white"/>
                </w:rPr>
                <w:t xml:space="preserve">www.rts-tender.ru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(Оператор)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Дата и время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проведения аукциона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01.12.2023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11 час.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00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мин. по московскому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времени.</w:t>
            </w:r>
            <w:r>
              <w:rPr>
                <w:highlight w:val="white"/>
              </w:rPr>
            </w:r>
            <w:r/>
          </w:p>
        </w:tc>
      </w:tr>
      <w:tr>
        <w:trPr>
          <w:trHeight w:val="730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6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6"/>
                <w:lang w:eastAsia="ru-RU"/>
              </w:rPr>
              <w:t xml:space="preserve">Сведения о лице, у которого по решению суда изъято имущество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 w:val="0"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Cs/>
                <w:sz w:val="24"/>
                <w:szCs w:val="26"/>
                <w:lang w:eastAsia="ru-RU"/>
              </w:rPr>
              <w:t xml:space="preserve"> Тихонов Александр Михайлович, Михайлова Мария Львовна</w:t>
            </w:r>
            <w:r>
              <w:rPr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7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Предмет аукциона, сведения об изъятом имуществе (далее - имущество)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ind w:left="0" w:right="33" w:firstLine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none"/>
              </w:rPr>
              <w:t xml:space="preserve">Нежилое здание (</w:t>
            </w:r>
            <w:r>
              <w:rPr>
                <w:rFonts w:ascii="Times New Roman" w:hAnsi="Times New Roman" w:eastAsia="Times New Roman" w:cs="Times New Roman"/>
                <w:b w:val="0"/>
                <w:iCs/>
                <w:color w:val="000000"/>
                <w:sz w:val="24"/>
                <w:szCs w:val="26"/>
              </w:rPr>
              <w:t xml:space="preserve">объект</w:t>
            </w:r>
            <w:r>
              <w:rPr>
                <w:rFonts w:ascii="Times New Roman" w:hAnsi="Times New Roman" w:eastAsia="Times New Roman" w:cs="Times New Roman"/>
                <w:b w:val="0"/>
                <w:iCs/>
                <w:color w:val="000000"/>
                <w:sz w:val="24"/>
                <w:szCs w:val="26"/>
              </w:rPr>
              <w:t xml:space="preserve"> культурного наследия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8"/>
                <w:highlight w:val="none"/>
              </w:rPr>
              <w:t xml:space="preserve">федерального значения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«Дом Каликиной, кон.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VIII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.»)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</w:rPr>
              <w:t xml:space="preserve">площадь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</w:rPr>
              <w:t xml:space="preserve"> 406,1 кв.м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</w:rPr>
              <w:t xml:space="preserve"> 3-этажное, в том числе подземных этажей 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</w:rPr>
              <w:t xml:space="preserve">, кадастровый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</w:rPr>
              <w:t xml:space="preserve"> номер 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</w:rPr>
              <w:t xml:space="preserve">4:26:021301:109,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адрес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Костромская область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Галичский район,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г. Галич,                            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д. 32,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ограничение (обременение):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обязанность покупателя по проведе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ю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по сохранению объекта культурного наследия в порядке, установленном Феде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ральным законом 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73-ФЗ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в соответ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ствии с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 охранным обязательством собственника или иного законного владельца объекта культурного наследия,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 утвержденным приказом инспекции по охране объектов культурного насле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дия Костромской области от 28 декабря 2016 года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№ 208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«Об утверждении охранного обязательства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собственника или иного законного владельца объекта культурного наследия федерального значения, включенного в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highlight w:val="white"/>
                <w:lang w:eastAsia="ru-RU"/>
              </w:rPr>
              <w:t xml:space="preserve">единый государственный реестр объектов культурного наследия (памятников истории и культуры) народов Российской Федерации,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«Дом Каликиной, кон.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VIII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.», расположенного по адресу: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Костромская область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г. Галич,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д. 32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none"/>
                <w:lang w:val="ru-RU" w:eastAsia="ru-RU"/>
              </w:rPr>
              <w:t xml:space="preserve"> (в редакции приказа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инспекции по охране объектов культурного насле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дия Костромской области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 от 4 мая 2021 года № 41 «О внесении изменения в приказ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инспекции по охране объектов культурного наследия Костромской области от 28.12.2016 № 208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»  (Приложение № 1), а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ктом технического состояния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highlight w:val="white"/>
                <w:lang w:val="ru-RU" w:eastAsia="ru-RU"/>
              </w:rPr>
              <w:t xml:space="preserve"> объекта культурного наследия (здания, строения, помещения) от 25 августа                   2022  года № 292-04 (Приложение № 2)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обеспечительные меры по решению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highlight w:val="white"/>
                <w:lang w:eastAsia="ru-RU"/>
              </w:rPr>
              <w:t xml:space="preserve">Галичского районного суда Костромской области от 5 ноября 2020 года по делу № 2-608/2020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highlight w:val="white"/>
                <w:lang w:eastAsia="ru-RU"/>
              </w:rPr>
              <w:t xml:space="preserve">,                 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с одновременным отчуждением земельного участка, категория земель: земли населенных пунктов, вид разрешенн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го использования: для производственных целей (производство мебели),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площадь 363 кв.м, кадастровый номер 44:26:021301:238, местоположение: «Местоположение установлено относительно ориентира, расположенного в границах участка. Почтовый адрес ориентира: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Костромская область,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Галичский район,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г. Галич,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д. 32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ограничение (обременение):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обеспечительные меры по решению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highlight w:val="white"/>
                <w:lang w:eastAsia="ru-RU"/>
              </w:rPr>
              <w:t xml:space="preserve">Галичского районного суда Костромской области от 5 ноября 2020 года по делу  № 2-608/2020,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земельного участка, категория земель: земли населенных пунктов, вид разрешенн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го использования: для производственных целей (производство мебели),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  <w:lang w:val="ru-RU"/>
              </w:rPr>
              <w:t xml:space="preserve">площадь 334 кв.м, кадастровый номер 44:26:021301:239, местоположение: «Местоположение установлено относительно ориентира, расположенного в границах участка. Почтовый адрес ориентира: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Костромская область,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Галичский район,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г. Галич,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д. 32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ограничение (обременение):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  <w:highlight w:val="white"/>
              </w:rPr>
              <w:t xml:space="preserve">обеспечительные меры по решению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highlight w:val="white"/>
                <w:lang w:eastAsia="ru-RU"/>
              </w:rPr>
              <w:t xml:space="preserve">Галичского районного суда Костромской области от 5 ноября 2020 года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highlight w:val="white"/>
                <w:lang w:eastAsia="ru-RU"/>
              </w:rPr>
              <w:t xml:space="preserve">по делу №  2-608/2020.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ru-RU"/>
              </w:rPr>
            </w:r>
            <w:r/>
          </w:p>
          <w:p>
            <w:pPr>
              <w:ind w:left="0" w:right="33" w:firstLine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8"/>
                <w:highlight w:val="white"/>
              </w:rPr>
              <w:t xml:space="preserve">Изменение предмета аукциона не допускается. </w:t>
            </w:r>
            <w:r>
              <w:rPr>
                <w:highlight w:val="white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8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Сведения об оценке рыночной стоимости изъятых объектов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73"/>
              <w:ind w:firstLine="0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204" w:leader="none"/>
                <w:tab w:val="left" w:pos="9912" w:leader="none"/>
              </w:tabs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/>
              </w:rPr>
              <w:t xml:space="preserve">тчет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/>
              </w:rPr>
              <w:t xml:space="preserve">по определению рыночной стоимости 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изъятых на основании решения суда объектов культурного наследия (памятников истории и культуры) народов Российской Федерации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 включенных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val="ru-RU"/>
              </w:rPr>
              <w:t xml:space="preserve">,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 земельных участков, 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val="ru-RU"/>
              </w:rPr>
              <w:t xml:space="preserve">на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 которых располагаются 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изъят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val="ru-RU"/>
              </w:rPr>
              <w:t xml:space="preserve">ые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 на основании решения суда объект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val="ru-RU"/>
              </w:rPr>
              <w:t xml:space="preserve">ы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 культурного наследия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val="ru-RU"/>
              </w:rPr>
              <w:t xml:space="preserve">, или земельных участков, в границах которых распологаются объекты архилогического наследия от 22.05.2023 № 102-1/23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white"/>
                <w:lang w:val="ru-RU"/>
              </w:rPr>
              <w:t xml:space="preserve">в</w:t>
            </w:r>
            <w:r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highlight w:val="none"/>
                <w:lang w:val="ru-RU"/>
              </w:rPr>
              <w:t xml:space="preserve">ыполнен                                   ЗАО «Аудит-Центр».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white"/>
                <w:lang w:eastAsia="ru-RU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6"/>
                <w:lang w:val="ru-RU"/>
              </w:rPr>
              <w:t xml:space="preserve">Стоимость восстановительных работ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6"/>
                <w:lang w:val="ru-RU"/>
              </w:rPr>
              <w:t xml:space="preserve">и (или) стоимость мероприятий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6"/>
                <w:lang w:val="ru-RU"/>
              </w:rPr>
              <w:t xml:space="preserve">по сохранению имущества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24 797 297 (Двадцать четыре миллиона семьсот девяносто семь тысяч двести девяносто семь) рублей 00 копеек (сметно-финансовый расчет восстановительных работ </w:t>
            </w:r>
            <w:r>
              <w:rPr>
                <w:rFonts w:ascii="Times New Roman" w:hAnsi="Times New Roman" w:eastAsia="Times New Roman" w:cs="Times New Roman"/>
                <w:b w:val="0"/>
                <w:iCs/>
                <w:color w:val="000000"/>
                <w:sz w:val="24"/>
                <w:szCs w:val="26"/>
              </w:rPr>
              <w:t xml:space="preserve">объекта</w:t>
            </w:r>
            <w:r>
              <w:rPr>
                <w:rFonts w:ascii="Times New Roman" w:hAnsi="Times New Roman" w:eastAsia="Times New Roman" w:cs="Times New Roman"/>
                <w:b w:val="0"/>
                <w:iCs/>
                <w:color w:val="000000"/>
                <w:sz w:val="24"/>
                <w:szCs w:val="26"/>
              </w:rPr>
              <w:t xml:space="preserve"> культурного наследия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8"/>
                <w:highlight w:val="none"/>
              </w:rPr>
              <w:t xml:space="preserve">федерального значения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«Дом Каликиной, кон.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VIII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.»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расположенного по адресу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Костромская область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г. Галич,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д. 32, подготовлен ОГБУ «Наследие» 31 января 2023 года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t xml:space="preserve">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Охранное обязательство собственника или иного законного владельца объекта культурного наследия на имущество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 утверждено приказом инспекции по охране объектов культурного наследия Костромской области от 28 декабря 2016 года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№ 208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«Об утверждении охранного обязательства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собственника или иного законного владельца объекта культурного наследия федерального значения, включенного в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6"/>
                <w:lang w:eastAsia="ru-RU"/>
              </w:rPr>
              <w:t xml:space="preserve">единый государственный реестр объектов культурного наследия (памятников истории и культуры) народов Российской Федерации,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«Дом Каликиной, кон.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VIII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.», расположенного по адресу: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Костромская область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г. Галич, ул. Луначарского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8"/>
              </w:rPr>
              <w:t xml:space="preserve"> д. 32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» (в редакции приказа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инспекции по охране объектов культурного наследия Костромской области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 от 4 мая 2021 года № 41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«О внесении изменения в приказ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инспекции по охране объектов культурного наследия Костромской области от 28.12.2016 № 208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lang w:val="ru-RU" w:eastAsia="ru-RU"/>
              </w:rPr>
              <w:t xml:space="preserve">»).</w:t>
            </w:r>
            <w:r>
              <w:rPr>
                <w:b/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</w:rPr>
              <w:t xml:space="preserve">11</w:t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Требования к участникам аукциона и у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словия допуска к участию в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продаже имущества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897"/>
              <w:numPr>
                <w:ilvl w:val="0"/>
                <w:numId w:val="30"/>
              </w:num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аукциона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(далее - Участник) –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ретендент, признанный Организатором аукциона Участником.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</w:r>
            <w:r/>
          </w:p>
          <w:p>
            <w:pPr>
              <w:pStyle w:val="897"/>
              <w:numPr>
                <w:ilvl w:val="0"/>
                <w:numId w:val="30"/>
              </w:num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ретендентом на участие в аукционе может выступать любое юридическое лицо независимо от организационно-правовой формы, формы собственности, местонахождения и места происхождения капитала или любое физическое лицо, в том числе зарегистрированное в качестве и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ндивидуального предпринимателя, в установленном порядке подавшее заявку на участие в аукционе, за исключением лиц, указанных в пункте 4 настоящего раздела, а также юридических лиц, местом регистрации которых является государство или территория, включенные 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  <w:t xml:space="preserve">мации при проведении финансовых операций (офшорные зоны) в отношении юридических лиц.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  <w:p>
            <w:pPr>
              <w:pStyle w:val="874"/>
              <w:numPr>
                <w:ilvl w:val="0"/>
                <w:numId w:val="30"/>
              </w:num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 w:themeColor="text1"/>
                <w:sz w:val="24"/>
                <w:lang w:eastAsia="en-US"/>
              </w:rPr>
              <w:t xml:space="preserve">Претендент не допускается к участию в продаже имущества по следующим основаниям: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szCs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  <w:lang w:eastAsia="en-US"/>
              </w:rPr>
              <w:t xml:space="preserve">а)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  <w:lang w:eastAsia="en-US"/>
              </w:rPr>
              <w:t xml:space="preserve">б) представлены не все документы в соответствии с перечнем, указанным в Приложении № 3 к настоящему извещению, или они оформлены не в соответствии с законодательством Ро</w:t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  <w:lang w:eastAsia="en-US"/>
              </w:rPr>
              <w:t xml:space="preserve">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  <w:lang w:eastAsia="en-US"/>
              </w:rPr>
              <w:t xml:space="preserve">в) заявка подана лицом, не уполномоченным претендентом на осуществление таких действий;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  <w:lang w:eastAsia="en-US"/>
              </w:rPr>
              <w:t xml:space="preserve">г) не подтверждено поступление задатка на счета, указанные в аукционной документации, в установленный срок.</w:t>
            </w:r>
            <w:r>
              <w:rPr>
                <w:rFonts w:ascii="Times New Roman" w:hAnsi="Times New Roman" w:eastAsia="Times New Roman" w:cs="Times New Roman"/>
                <w:sz w:val="24"/>
                <w:highlight w:val="none"/>
              </w:rPr>
            </w:r>
            <w:r/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highlight w:val="none"/>
                <w:lang w:eastAsia="en-US"/>
              </w:rPr>
              <w:t xml:space="preserve">4) 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lang w:eastAsia="ru-RU"/>
              </w:rPr>
              <w:t xml:space="preserve">ретендентом на участие в аукционе не может быть лицо, у которого по решению суда изъято имущество, организации, на которые возложена оценка изъятых объектов, Инициатор и Организатор аукциона, работники указанных организаций, должностные лица органов госуда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lang w:eastAsia="ru-RU"/>
              </w:rPr>
              <w:t xml:space="preserve">рственной власти, органов местного самоуправления, чье участие в аукционе может оказать влияние на условия и результаты аукциона, а также члены семей данных лиц.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В случае установления факта недостоверности сведений, содержащихся в документах,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 Аукционная комиссия обязана отстранить таких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ретендент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ов или участников аукциона от участия в аукционе на любом этапе его проведения до заключения договора купли-продажи изъятого имущества.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Протокол об отстранении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ретендент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а или участника аукциона от участия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lang w:eastAsia="ru-RU"/>
              </w:rPr>
              <w:t xml:space="preserve">укционе подлежит размещению Организатором аукциона на </w:t>
            </w:r>
            <w:r>
              <w:rPr>
                <w:rFonts w:ascii="Times New Roman" w:hAnsi="Times New Roman" w:eastAsia="Times New Roman" w:cs="Times New Roman"/>
                <w:b w:val="0"/>
                <w:iCs/>
                <w:color w:val="000000"/>
                <w:sz w:val="24"/>
                <w:szCs w:val="26"/>
              </w:rPr>
              <w:t xml:space="preserve">электронной </w:t>
            </w:r>
            <w:r>
              <w:rPr>
                <w:rFonts w:ascii="Times New Roman" w:hAnsi="Times New Roman" w:eastAsia="Times New Roman" w:cs="Times New Roman"/>
                <w:b w:val="0"/>
                <w:iCs/>
                <w:color w:val="000000"/>
                <w:sz w:val="24"/>
                <w:szCs w:val="26"/>
              </w:rPr>
              <w:t xml:space="preserve">площадке                             </w:t>
            </w:r>
            <w:r>
              <w:rPr>
                <w:rFonts w:ascii="Times New Roman" w:hAnsi="Times New Roman" w:eastAsia="Times New Roman" w:cs="Times New Roman"/>
                <w:b w:val="0"/>
                <w:color w:val="000000" w:themeColor="text1"/>
                <w:sz w:val="24"/>
                <w:highlight w:val="white"/>
              </w:rPr>
              <w:t xml:space="preserve">ООО «РТС–тендер»</w:t>
            </w:r>
            <w:r>
              <w:rPr>
                <w:rFonts w:ascii="Times New Roman" w:hAnsi="Times New Roman" w:eastAsia="Times New Roman" w:cs="Times New Roman"/>
                <w:b w:val="0"/>
                <w:color w:val="000000" w:themeColor="text1"/>
                <w:sz w:val="24"/>
                <w:highlight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color w:val="000000" w:themeColor="text1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официальном сайте Российской Федерации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для размещения информации о проведении торгов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 www.torgi.gov.ru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highlight w:val="white"/>
                <w:lang w:eastAsia="ru-RU"/>
              </w:rPr>
              <w:t xml:space="preserve">).</w:t>
            </w:r>
            <w:r>
              <w:rPr>
                <w:highlight w:val="white"/>
              </w:rPr>
            </w:r>
            <w:r/>
          </w:p>
        </w:tc>
      </w:tr>
      <w:tr>
        <w:trPr>
          <w:trHeight w:val="539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Форма Заявки на участие в аукционе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Приложение № 4 к настоящей аукционной документации. </w:t>
            </w:r>
            <w:r>
              <w:rPr>
                <w:sz w:val="24"/>
              </w:rPr>
            </w:r>
            <w:r/>
          </w:p>
        </w:tc>
      </w:tr>
      <w:tr>
        <w:trPr>
          <w:trHeight w:val="1385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13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Место, сроки подачи (приема) Заявок, определения 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Участников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 проведения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и подведения итогов продажи имущества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Место подачи (приема) Заявок: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электронная площадка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                                     </w:t>
            </w:r>
            <w:hyperlink r:id="rId15" w:tooltip="http://www.rts-tender.ru" w:history="1">
              <w:r>
                <w:rPr>
                  <w:rStyle w:val="896"/>
                  <w:rFonts w:ascii="Times New Roman" w:hAnsi="Times New Roman" w:eastAsia="Times New Roman" w:cs="Times New Roman"/>
                  <w:color w:val="000000" w:themeColor="text1"/>
                  <w:sz w:val="24"/>
                  <w:highlight w:val="white"/>
                </w:rPr>
                <w:t xml:space="preserve">www.rts-tender.ru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(Оператор)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Дата и время начала подачи (приема) Заявок: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17.10.2023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                       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час.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00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мин. по московскому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времени.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Подача Заявок осуществляется круглосуточно.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Дата и время окончания подачи (приема) Заявок: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27.11.20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 1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6 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час.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00 мин. п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московскому времени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(включительно).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4)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Дата определения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частников: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.11.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в 1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5 час. 00 мин. по московскому времени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5)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Дата и время проведения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продажи имущества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: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01.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12.20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                           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в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час.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мин. 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московскому времени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6) Срок подведения итогов продажи имущества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01.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20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                    с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час.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00 мин. по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московскому времени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highlight w:val="white"/>
                <w:lang w:eastAsia="ru-RU"/>
              </w:rPr>
              <w:t xml:space="preserve">Процедура аукциона считается завершенной с момента подписания Организатором торгов протокола об итогах аукциона.</w:t>
            </w:r>
            <w:r>
              <w:rPr>
                <w:highlight w:val="white"/>
              </w:rPr>
            </w:r>
            <w:r/>
          </w:p>
        </w:tc>
      </w:tr>
      <w:tr>
        <w:trPr>
          <w:trHeight w:val="287"/>
        </w:trPr>
        <w:tc>
          <w:tcPr>
            <w:shd w:val="clear" w:color="f2f2f2" w:fill="f2f2f2"/>
            <w:tcBorders>
              <w:bottom w:val="single" w:color="auto" w:sz="4" w:space="0"/>
            </w:tcBorders>
            <w:tcW w:w="462" w:type="dxa"/>
            <w:vAlign w:val="center"/>
            <w:textDirection w:val="lrTb"/>
            <w:noWrap w:val="false"/>
          </w:tcPr>
          <w:p>
            <w:r>
              <w:rPr>
                <w:b/>
              </w:rPr>
              <w:t xml:space="preserve">14</w:t>
            </w:r>
            <w:r/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Порядок подачи (приема) и отзыва Заявок, форма Заявки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44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lang w:eastAsia="en-US"/>
              </w:rPr>
              <w:t xml:space="preserve">1) 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Заявка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 w:eastAsia="ru-RU"/>
              </w:rPr>
              <w:t xml:space="preserve">на участие в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 w:eastAsia="ru-RU"/>
              </w:rPr>
              <w:t xml:space="preserve">аукционе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 w:eastAsia="ru-RU"/>
              </w:rPr>
              <w:t xml:space="preserve">в электронной форме по продаже изъятых на основании решения суда объектов культурного наследия (памятников истории и культуры) народов Российской Федерации, включенных в Единый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 w:eastAsia="ru-RU"/>
              </w:rPr>
              <w:t xml:space="preserve">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 или земельных участков, в границах которых располагаются объекты археологического наследия 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подается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на электронной площадке «РТС-тендер» имущественные торги 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 путем заполнения формы, утвержденной аукционной 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документацией 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Приложение № 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4),</w:t>
            </w:r>
            <w:r>
              <w:rPr>
                <w:rFonts w:ascii="Times New Roman" w:hAnsi="Times New Roman" w:eastAsia="Times New Roman" w:cs="Times New Roman"/>
                <w:sz w:val="24"/>
                <w:lang w:eastAsia="en-US"/>
              </w:rPr>
              <w:t xml:space="preserve"> с приложением электронных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Приложением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к настоящей аукционной документации.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К данным документам также прилагается их опись в соответствии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с Приложением № 5 к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настоящей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аукционной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документации.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/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Одно лицо имеет право подать только одну Заявку.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/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  <w:lang w:eastAsia="en-US"/>
              </w:rPr>
              <w:t xml:space="preserve">3)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Заявки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могут быть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пода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ны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на электронную площадку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с даты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и времени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начала подачи (приема) Заявок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указанных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в п.2 раздела 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3 аукционной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до времени и даты окончания подачи (приема) Заявок,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указанных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п.3 раздела 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аукционной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/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  <w:lang w:eastAsia="en-US"/>
              </w:rPr>
              <w:t xml:space="preserve">4)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Заявки с прилагаемыми к ним документами, поданные с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нарушением установленного срока, на электронной площадке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регистрируются.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/>
          </w:p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  <w:lang w:eastAsia="en-US"/>
              </w:rPr>
              <w:t xml:space="preserve">5)</w:t>
            </w:r>
            <w:r>
              <w:rPr>
                <w:rFonts w:ascii="Times New Roman" w:hAnsi="Times New Roman" w:eastAsia="Times New Roman" w:cs="Times New Roman"/>
                <w:bCs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Претендент вправе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до даты признания претендента участником аукциона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указанной в п.4 раздела 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аукционной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отозвать Заявку путем направления уведомления об отзыве Заявки на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электронную площадку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highlight w:val="white"/>
              </w:rPr>
              <w:t xml:space="preserve">Изменение заявки допускается только путем подачи 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highlight w:val="white"/>
              </w:rPr>
              <w:t xml:space="preserve">ретендент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highlight w:val="white"/>
              </w:rPr>
              <w:t xml:space="preserve">ом новой Заявки в установленные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аукционной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6"/>
                <w:highlight w:val="white"/>
              </w:rPr>
              <w:t xml:space="preserve"> сроки, при этом первоначальная заявка должна быть отозвана.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lang w:eastAsia="en-US"/>
              </w:rPr>
              <w:t xml:space="preserve">Размер задатка, срок,  порядок его внесения и возврата, банковские реквизиты счета для его перечисления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897"/>
              <w:numPr>
                <w:ilvl w:val="0"/>
                <w:numId w:val="32"/>
              </w:num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Для участия в продаже имущества Претенденты на участие в аукционе вносят задатки в размере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val="ru-RU"/>
              </w:rPr>
              <w:t xml:space="preserve">10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val="ru-RU"/>
              </w:rPr>
              <w:t xml:space="preserve">% от начальной цены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val="ru-RU"/>
              </w:rPr>
              <w:t xml:space="preserve">имущества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val="ru-RU"/>
              </w:rPr>
              <w:t xml:space="preserve">, что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составляет –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 147 744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                   (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Сто сорок семь тысяч семьсот сорок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четыре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) рубля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 копеек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без учета налога на добавленную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стоимос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).</w:t>
            </w:r>
            <w:r>
              <w:rPr>
                <w:highlight w:val="white"/>
              </w:rPr>
            </w:r>
            <w:r/>
          </w:p>
          <w:p>
            <w:pPr>
              <w:pStyle w:val="897"/>
              <w:numPr>
                <w:ilvl w:val="0"/>
                <w:numId w:val="32"/>
              </w:num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Претендент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на участие в аукционе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обеспечивает поступление задатка в срок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до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6 час. 00 мин.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11.2023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по московскому времени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 (включительно).</w:t>
            </w:r>
            <w:r>
              <w:rPr>
                <w:highlight w:val="white"/>
              </w:rPr>
            </w:r>
            <w:r/>
          </w:p>
          <w:p>
            <w:pPr>
              <w:pStyle w:val="897"/>
              <w:numPr>
                <w:ilvl w:val="0"/>
                <w:numId w:val="32"/>
              </w:numPr>
              <w:ind w:left="0" w:right="0" w:firstLine="0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Порядок внесения задатка определяется регламентом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в соответствии с соглашением о гарантийном обеспечении на электронной площадке «РТС-тендер» имущественные торги (далее – соглашение)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:lang w:eastAsia="en-US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риложение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8).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Реквизиты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Оператора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 для перечисления задатка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Получатель ООО «РТС-тендер»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Наименование банка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Филиал «Корпоративный» ПАО «Совкомбанк»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Расчетный счет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0702810512030016362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Корр. счет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30101810445250000360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БИК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044525360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7710357167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lang w:eastAsia="en-US"/>
              </w:rPr>
              <w:t xml:space="preserve">КПП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773001001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Назначение платежа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lang w:eastAsia="en-US"/>
              </w:rPr>
              <w:t xml:space="preserve">внесение гарантийного обеспечения по Соглашению о внесении гарантийного обеспечения,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lang w:eastAsia="en-US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lang w:eastAsia="en-US"/>
              </w:rPr>
              <w:t xml:space="preserve">№ аналитического счета _________, без НДС.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highlight w:val="non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) Порядок возвращения задатка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:</w:t>
            </w:r>
            <w:r>
              <w:rPr>
                <w:highlight w:val="white"/>
              </w:rPr>
            </w:r>
            <w:r/>
          </w:p>
          <w:p>
            <w:pPr>
              <w:pStyle w:val="925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в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не позднее, чем 5 (пять) дней со дня поступления уведомления об отзыве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/>
          </w:p>
          <w:p>
            <w:pPr>
              <w:pStyle w:val="925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соглашении,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продажи имущества;</w:t>
            </w:r>
            <w:r>
              <w:rPr>
                <w:highlight w:val="white"/>
              </w:rPr>
            </w:r>
            <w:r/>
          </w:p>
          <w:p>
            <w:pPr>
              <w:pStyle w:val="925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случае если Претендент не признан участником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продажи имущества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соглашении,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продажи имущества;</w:t>
            </w:r>
            <w:r>
              <w:rPr>
                <w:highlight w:val="white"/>
              </w:rPr>
            </w:r>
            <w:r/>
          </w:p>
          <w:p>
            <w:pPr>
              <w:pStyle w:val="925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случае если Претендент не признан Победителем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итогов продажи имущества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Оператор перечисляет сумму задатка на счет, указанный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соглашении,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продажи имущества;</w:t>
            </w:r>
            <w:r>
              <w:rPr>
                <w:highlight w:val="white"/>
              </w:rPr>
            </w:r>
            <w:r/>
          </w:p>
          <w:p>
            <w:pPr>
              <w:pStyle w:val="925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случае отмены проведения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продажи имущества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Оператор в течение 5 (пяти) дней с даты опубликования об этом информационного сообщения возвращает задаток Претенденту путем перечисления суммы задатка на счет, указанный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соглашении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/>
          </w:p>
          <w:p>
            <w:pPr>
              <w:pStyle w:val="925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Задаток не возвращается:</w:t>
            </w:r>
            <w:r>
              <w:rPr>
                <w:highlight w:val="white"/>
              </w:rPr>
            </w:r>
            <w:r/>
          </w:p>
          <w:p>
            <w:pPr>
              <w:ind w:firstLine="457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п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ри уклонении или отказе Победителя аукциона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или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highlight w:val="white"/>
                <w:lang w:eastAsia="ru-RU"/>
              </w:rPr>
              <w:t xml:space="preserve"> единственного участника аукциона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от заключения в установленный срок договора купли-продажи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имущества, он утрачивает право на заключение указанного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/>
          </w:p>
          <w:p>
            <w:pPr>
              <w:pStyle w:val="925"/>
              <w:ind w:firstLine="0"/>
              <w:jc w:val="both"/>
              <w:spacing w:before="0" w:beforeAutospacing="0" w:after="0" w:afterAutospacing="0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адаток, внесенный Претендентом, признанным Победителем аукциона, или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единственным участником аукциона,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6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и заключившим с Организатором договор купли-продажи приобретаемого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имущества, засчитывается Организатором в счет оплаты приобретаемого имущества.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6) Условия договора о задатке, указанные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настоящем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white"/>
                <w:lang w:eastAsia="en-US"/>
              </w:rPr>
              <w:t xml:space="preserve">разделе аукционной документации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white"/>
                <w:lang w:eastAsia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white"/>
                <w:lang w:eastAsia="en-US"/>
              </w:rPr>
              <w:t xml:space="preserve"> являются условиями публичной оферты в соответствии со </w:t>
            </w:r>
            <w:hyperlink r:id="rId16" w:tooltip="consultantplus://offline/ref=04C69D67FA7F00F8B2D92E624E108DE4AEA01442D49672C188D2DD2BF89EA41C613D87F19E3D74ED824B5019CC5567396D673E8E60DD755Fj7Z6L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highlight w:val="white"/>
                  <w:lang w:eastAsia="en-US"/>
                </w:rPr>
                <w:t xml:space="preserve">статьей 437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Гражданского кодекса Российской Федерации. 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Подача Претендентом заявки и перечисление задатка на счет -являются акцептом такой оферты, и договор о задатке считается заключенным в установленном порядке.</w:t>
            </w:r>
            <w:r>
              <w:rPr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7) Плат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ельщиком задатка может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быть только Претендент.                       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</w:rPr>
              <w:t xml:space="preserve">16</w:t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Начальная цена продажи имущества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/>
          </w:p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73"/>
              <w:ind w:firstLine="0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204" w:leader="none"/>
                <w:tab w:val="left" w:pos="9912" w:leader="none"/>
              </w:tabs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1 477 441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(Один миллион четыреста семьдесят семь тысяч четыреста сорок один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) рубль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00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 копеек (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с учетом налога на добавленную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стоимос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ть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в том числе объекта недвижимого имущества –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 1 007 540 (Один миллион семь тысяч пятьсот сорок)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руб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лей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 00 копеек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, стоимость (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выкупа) з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емельн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участк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–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 469 901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(Четыреста шестьдесят девять тысяч девятьсот один)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</w:rPr>
              <w:t xml:space="preserve"> рубл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z w:val="24"/>
                <w:szCs w:val="28"/>
                <w:highlight w:val="white"/>
                <w:lang w:val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</w:rPr>
              <w:t xml:space="preserve">17</w:t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6"/>
                <w:lang w:val="ru-RU"/>
              </w:rPr>
              <w:t xml:space="preserve">Величина повышения начальной цены («шаг аукциона»)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000 (Тридцать тысяч) рублей. </w:t>
            </w:r>
            <w:r>
              <w:rPr>
                <w:highlight w:val="white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18</w:t>
            </w:r>
            <w:r>
              <w:rPr>
                <w:b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Проект договора </w:t>
            </w:r>
            <w:r>
              <w:rPr>
                <w:b/>
              </w:rPr>
              <w:t xml:space="preserve">купли-продажи изъятого имущества</w:t>
            </w:r>
            <w:r>
              <w:rPr>
                <w:b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Приложение № 7 к настоящей аукционной документации. </w:t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19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</w:rPr>
              <w:t xml:space="preserve">Выписка из единого государственного реестра объектов культурного наследия (памятников истории и культуры) народов Российской Федерации</w:t>
            </w:r>
            <w:r>
              <w:rPr>
                <w:b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Приложение № 8 к настоящей аукционной документации. </w:t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Выписки из Единого государственного реестра недвижимости</w:t>
            </w:r>
            <w:r>
              <w:rPr>
                <w:b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t xml:space="preserve">Приложения № 9, № 10, № 11 к настоящей аукционной документации. 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spacing w:before="0" w:beforeAutospacing="0" w:after="0" w:afterAutospacing="0"/>
              <w:rPr>
                <w:rFonts w:ascii="Times New Roman" w:hAnsi="Times New Roman" w:eastAsia="Times New Roman" w:cs="Times New Roman"/>
                <w:b/>
                <w:iCs/>
                <w:sz w:val="24"/>
                <w:highlight w:val="lightGray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highlight w:val="none"/>
              </w:rPr>
              <w:t xml:space="preserve">21</w:t>
            </w:r>
            <w:r>
              <w:rPr>
                <w:highlight w:val="lightGray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highlight w:val="lightGray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highlight w:val="none"/>
                <w:lang w:eastAsia="en-US"/>
              </w:rPr>
              <w:t xml:space="preserve">Порядок разъяснения аукционной документации, ознакомления Претендентов с информацией,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highlight w:val="none"/>
                <w:lang w:eastAsia="en-US"/>
              </w:rPr>
              <w:t xml:space="preserve">условиями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highlight w:val="none"/>
                <w:lang w:eastAsia="en-US"/>
              </w:rPr>
              <w:t xml:space="preserve">говора купли-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highlight w:val="none"/>
              </w:rPr>
              <w:t xml:space="preserve">продажи </w:t>
            </w:r>
            <w:r>
              <w:rPr>
                <w:highlight w:val="lightGray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Любое лицо, независимо от регистрации 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электронной площадке Оператора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, вправе 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править на электронный адрес Организатора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, указанный в аукционной документации, запрос о разъяснении размещенной информации. Запрос разъяснений подлежит рассмотрению Организатором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, если он был получен Оператором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, не позднее чем за 5 (пять) рабочих дней до даты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и времени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окончания приема заявок,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указанных в п.3 раздела 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3 аукционной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 (Приложение 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:lang w:eastAsia="en-US"/>
              </w:rPr>
              <w:t xml:space="preserve">12).</w:t>
            </w:r>
            <w:r>
              <w:rPr>
                <w:rFonts w:ascii="Times New Roman" w:hAnsi="Times New Roman" w:cs="Times New Roman"/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В случае направления запроса иностранными лицами такой запрос должен иметь перевод на русский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:lang w:eastAsia="en-US"/>
              </w:rPr>
              <w:t xml:space="preserve">язык.</w:t>
            </w:r>
            <w:r>
              <w:rPr>
                <w:rFonts w:ascii="Times New Roman" w:hAnsi="Times New Roman" w:cs="Times New Roman"/>
                <w:highlight w:val="white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С иной информацией, условиями договора купли-продажи претенденты могут ознакомиться в департаменте имущественных и земельных отношений Костромской области по адресу: г. Кострома, ул. Калиновская, д. 38,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аб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. 222, по телефонам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+7 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(4942) 45-20-12,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5-70-94 либо на сайтах в сети «Интернет»: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официальном сайте Российской Федерации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для размещения информации о проведении торгов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 www.torgi.gov.ru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, на сайте Организатора - департамента имущественных и земельных отношений Костромской области 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  <w:lang w:val="en-US"/>
              </w:rPr>
              <w:t xml:space="preserve">www.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dizo.kostroma.gov.ru</w:t>
            </w:r>
            <w:r>
              <w:rPr>
                <w:rFonts w:ascii="Times New Roman" w:hAnsi="Times New Roman" w:eastAsia="Times New Roman" w:cs="Times New Roman"/>
                <w:iCs/>
                <w:sz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highlight w:val="white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22</w:t>
            </w:r>
            <w:r>
              <w:rPr>
                <w:b/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Порядок осмотра 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lang w:eastAsia="en-US"/>
              </w:rPr>
              <w:t xml:space="preserve">имущества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Осмотр имущества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en-US"/>
              </w:rPr>
              <w:t xml:space="preserve">производится самостоятельно.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23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Порядок внесения изменений в Документацию об аукционе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872"/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Организатор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 вправе принять решение о внесении изменений в 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 в срок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не позднее чем за 5 рабочих дней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 до даты окончания срока приема заявок на участие в аукционе.</w:t>
            </w:r>
            <w:r>
              <w:rPr>
                <w:sz w:val="24"/>
              </w:rPr>
            </w:r>
            <w:r/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При внесении изменений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 Организатор аукциона обязан уведомить Инициатора аукциона о внесении изменений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, направив изменения в день принятия такого решения.</w:t>
            </w:r>
            <w:r>
              <w:rPr>
                <w:sz w:val="24"/>
              </w:rPr>
            </w:r>
            <w:r/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Изменения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 размещаются Инициатором аукциона на официальных сайтах торгов в срок не позднее окончания рабочего дня, следующего за датой принятия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решения о внесении изменений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.</w:t>
            </w:r>
            <w:r>
              <w:rPr>
                <w:sz w:val="24"/>
              </w:rPr>
            </w:r>
            <w:r/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При внесении изменений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срок приема заявок на участие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аукционе должен быть продлен таким образом, чтобы со дня размещения таких изменений на официальных сайтах торгов до даты окончания срока приема заявок на участие в аукционе он составлял не менее 15 календарных дней.</w:t>
            </w:r>
            <w:r>
              <w:rPr>
                <w:sz w:val="24"/>
              </w:rPr>
            </w:r>
            <w:r/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Изменение предмета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 не допускается.</w:t>
            </w:r>
            <w:r>
              <w:rPr>
                <w:sz w:val="24"/>
              </w:rPr>
            </w:r>
            <w:r/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  <w:t xml:space="preserve">При этом Организатор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  <w:t xml:space="preserve">аукциона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  <w:t xml:space="preserve"> не несет ответственность в случае, если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  <w:t xml:space="preserve">Претендент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  <w:t xml:space="preserve"> не ознакомился с изменениями, внесенными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аукционную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документацию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  <w:t xml:space="preserve">, размещенными надлежащим образом.</w:t>
            </w:r>
            <w:r>
              <w:rPr>
                <w:sz w:val="24"/>
              </w:rPr>
            </w:r>
            <w:r/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6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Оператор приостанавливает проведение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аукциона в случае технологического сбоя, зафиксированного программно-аппаратными средствами электронной площадки, но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не более чем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на одни сутки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. Возобновление проведения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аукциона начинае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тся с того момента, на котором 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укцион был прерван.</w:t>
            </w:r>
            <w:r>
              <w:rPr>
                <w:sz w:val="24"/>
              </w:rPr>
            </w:r>
            <w:r/>
          </w:p>
          <w:p>
            <w:pPr>
              <w:pStyle w:val="872"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В течение одного часа со времени приостановления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 Оператор размещает на электронной площадке информацию о причине приостановления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аукциона, времени приостановления и возобновления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аукциона, уведомляет об этом участников, а также направляет указанную информацию Организатору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 для внесения в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протокол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об итогах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аукциона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lang w:eastAsia="ru-RU"/>
              </w:rPr>
              <w:t xml:space="preserve">.</w:t>
            </w:r>
            <w:r>
              <w:rPr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24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Порядок 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тказ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 xml:space="preserve">проведения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продажи имущества</w:t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709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70c0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Организатор вправе отказаться от проведения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продажи имущества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в любое время,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но не позднее чем за три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д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ня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до наступления даты его проведения.</w:t>
            </w:r>
            <w:r>
              <w:rPr>
                <w:sz w:val="24"/>
              </w:rPr>
            </w:r>
            <w:r/>
          </w:p>
        </w:tc>
      </w:tr>
      <w:tr>
        <w:trPr>
          <w:trHeight w:val="897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6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25</w:t>
            </w:r>
            <w:r>
              <w:rPr>
                <w:sz w:val="24"/>
              </w:rPr>
            </w:r>
            <w:r/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Срок заключения договора купли-продажи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</w:rPr>
              <w:t xml:space="preserve">и ответственность за уклонение или отказ от заключения договора купли-продажи</w:t>
            </w:r>
            <w:r>
              <w:rPr>
                <w:sz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sz w:val="24"/>
              </w:rPr>
            </w:r>
            <w:r/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6447" w:type="dxa"/>
            <w:vAlign w:val="center"/>
            <w:vMerge w:val="restart"/>
            <w:textDirection w:val="lrTb"/>
            <w:noWrap w:val="false"/>
          </w:tcPr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ротокол об итогах аукциона, содержащий сведения об участниках аукциона, предложения о цене, которые они вносили, а также цену объектов, предложенную победителем, и удостоверяющий право победителя на заключение договора купли-продажи изъятых объектов, разме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щается Организатором аукциона на электронной площадке и официальном сайте Организатора аукциона в срок не позднее одного рабочего дня, следующего за днем проведения аукциона.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/>
          </w:p>
          <w:p>
            <w:pPr>
              <w:pStyle w:val="975"/>
              <w:ind w:left="0" w:right="0" w:firstLine="709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Организатор аукциона признает аукцион несостоявшимся в случае, если:</w:t>
            </w:r>
            <w:r/>
          </w:p>
          <w:p>
            <w:pPr>
              <w:pStyle w:val="975"/>
              <w:ind w:left="0" w:right="0" w:firstLine="709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1) принято решение об отказе в допуске к участию в аукционе всех претендентов или о признании только одного претендента участником аукциона;</w:t>
            </w:r>
            <w:r/>
          </w:p>
          <w:p>
            <w:pPr>
              <w:pStyle w:val="975"/>
              <w:ind w:left="0" w:right="0" w:firstLine="709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2) в ходе проведения аукциона от участников не поступило ни одного предложения о цене;</w:t>
            </w:r>
            <w:r/>
          </w:p>
          <w:p>
            <w:pPr>
              <w:pStyle w:val="975"/>
              <w:ind w:left="0" w:right="0" w:firstLine="709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3) до истечения установленного срока приема заявок не поступило ни одной заявки;</w:t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4) до истечения установленного срока приема заявок подана только одна заявка на участие в аукционе.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</w:rPr>
              <w:t xml:space="preserve">В срок не ранее десяти рабочих дней и не позднее двадцати рабочих дней со дня подписания протокола об итогах аукциона организатор аукциона заключает договор купли-продажи изъятых объектов с победителем аукциона или единственным участником аукциона.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При заключении договора купли-продажи изъятых объектов сумма задатка, внесенного победителем или единственным участником аукциона, засчитывается в счет оплаты по договору.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Денежные средства должны быть внесены единовременно в безналичном порядке на счет Организатора аукциона:</w:t>
            </w:r>
            <w:r>
              <w:rPr>
                <w:sz w:val="24"/>
              </w:rPr>
            </w:r>
            <w:r/>
          </w:p>
          <w:p>
            <w:pPr>
              <w:pStyle w:val="970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получатель - департамент финансов Костромской области (департамент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имущественных и земельных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Костромской области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л/с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833010018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)</w:t>
            </w:r>
            <w:r>
              <w:rPr>
                <w:sz w:val="24"/>
              </w:rPr>
            </w:r>
            <w:r/>
          </w:p>
          <w:p>
            <w:pPr>
              <w:pStyle w:val="970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ИНН 4401011825 КПП 440101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001</w:t>
            </w:r>
            <w:r>
              <w:rPr>
                <w:sz w:val="24"/>
              </w:rPr>
            </w:r>
            <w:r/>
          </w:p>
          <w:p>
            <w:pPr>
              <w:pStyle w:val="970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Банк: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ОТДЕЛЕНИЕ КОСТРОМА БАНКА РОССИИ// УФК ПО КОСТРОМСКОЙ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г. Кострома</w:t>
            </w:r>
            <w:r>
              <w:rPr>
                <w:sz w:val="24"/>
              </w:rPr>
            </w:r>
            <w:r/>
          </w:p>
          <w:p>
            <w:pPr>
              <w:pStyle w:val="970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Номер казначейского счета: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03222643340000004100</w:t>
            </w:r>
            <w:r>
              <w:rPr>
                <w:sz w:val="24"/>
              </w:rPr>
            </w:r>
            <w:r/>
          </w:p>
          <w:p>
            <w:pPr>
              <w:pStyle w:val="970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БИК ТОФК: 013469126</w:t>
            </w:r>
            <w:r>
              <w:rPr>
                <w:sz w:val="24"/>
              </w:rPr>
            </w:r>
            <w:r/>
          </w:p>
          <w:p>
            <w:pPr>
              <w:pStyle w:val="970"/>
              <w:spacing w:before="0" w:beforeAutospacing="0" w:after="0" w:afterAutospacing="0"/>
              <w:rPr>
                <w:rFonts w:ascii="Times New Roman" w:hAnsi="Times New Roman" w:eastAsia="Times New Roman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Единый казначейский счет (ЕКС): 40102810945370000034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В случае если победитель аукциона или единственный участник аукциона не подпишет договор купли-продажи изъятых объектов или не произведет оплату по договору, организатор аукциона признает таких лиц уклонившимися от подписания договора.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В случае признания победителя уклонившимся от заключения договора купли-продажи изъятых объектов инициатор аукциона заключает договор с лицом, сделавшим предпоследнее предложение о цене в ходе аукциона.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Организатор аукциона в течение 10 рабочих дней после подписания договора купли-продажи изъятых объектов и поступления на его счет оплаты по договору осуществляет: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1) перечисление в доход бюджета Костромской области: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стоимости работ по составлению отчета об оценке рыночной стоимости изъятых объектов;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стоимости работ по составлению сводного сметного расчета стоимости восстановительных работ и (или) стоимости мероприятий, необходимых для сохранения объекта археологического наследия, указанных в пункте 2 статьи 40 Федерального закона N 73-ФЗ;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2) уведомляет в письменной форме лицо, у которого по решению суда изъяты объекты, о результатах аукциона и размере денежных средств, которые будут ему переданы.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Организатор аукциона с даты представления победителем или лицом, выигравшим аукцион, сведений из Единого государственного реестра недвижимости о государственной регистрации права на изъятые объекты: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) в течение 5 рабочих дней перечисляет на счет лица, с которым заключен договор купли-продажи изъятых объектов, денежные средства в размере стоимости восстановительных работ и (или) стоимости мероприятий, необходимых для сохранения объекта археологического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наследия, указанных в пункте 2 статьи 40 Федерального закона N 73-ФЗ, но не более суммы, полученной в результате торгов за вычетом затрат на выполнение работ по составлению отчета об оценке рыночной стоимости изъятых объектов согласно акту сдачи-приемки ра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бот, а также стоимости работ по составлению сводного сметного расчета стоимости восстановительных работ и (или) стоимости мероприятий, необходимых для сохранения объекта археологического наследия, указанных в пункте 2 статьи 40 Федерального закона N 73-ФЗ;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) в течение 10 рабочих дней перечисляет лицу, у которого по решению суда изъяты объекты, вырученную от продажи сумму за вычетом денежных средств в размере общей суммы стоимости восстановительных работ и (или) стоимости мероприятий, необходимых для сохранен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я объекта археологического наследия, указанных в пункте 2 статьи 40 Федерального закона N 73-ФЗ, и расходов на проведение публичных торгов, а именно: стоимости работ по составлению отчета об оценке рыночной стоимости изъятых объектов согласно акту сдачи-пр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емки работ, а также стоимости работ по составлению сводного сметного расчета стоимости восстановительных работ и (или) стоимости мероприятий, необходимых для сохранения объекта археологического наследия, указанных в пункте 2 статьи 40 Федерального закона N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 73-ФЗ.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Инициатор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  <w:lang w:val="ru-RU"/>
              </w:rPr>
              <w:t xml:space="preserve">аукциона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 осуществляет контроль за выполнением условий договора купли-продажи изъятых объектов и обеспечивает приемку восстановительных работ или мероприятий, необходимых для сохранения объекта культурного наследия, объекта археологического наследия.</w:t>
            </w:r>
            <w:r>
              <w:rPr>
                <w:sz w:val="24"/>
              </w:rPr>
            </w:r>
            <w:r/>
          </w:p>
          <w:p>
            <w:pPr>
              <w:pStyle w:val="975"/>
              <w:ind w:left="0" w:right="0" w:firstLine="7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онтроль за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 выполнением работ по сохранению изъятых объектов культурного наследия или мероприятий, необходимых для сохранения объекта культурного наследия, объекта археологического наследия, и их приемки осуществляется Инициатором аукциона в соответствии с Федеральны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6"/>
                <w:highlight w:val="none"/>
              </w:rPr>
              <w:t xml:space="preserve">м законом № 73-ФЗ.</w:t>
            </w:r>
            <w:r>
              <w:rPr>
                <w:sz w:val="24"/>
              </w:rPr>
            </w:r>
            <w:r/>
          </w:p>
        </w:tc>
      </w:tr>
    </w:tbl>
    <w:p>
      <w:pPr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  <w:r/>
    </w:p>
    <w:p>
      <w:pPr>
        <w:jc w:val="center"/>
        <w:rPr>
          <w:rFonts w:eastAsia="MS Mincho"/>
        </w:rPr>
      </w:pPr>
      <w:r>
        <w:rPr>
          <w:rFonts w:eastAsia="MS Mincho"/>
        </w:rPr>
        <w:t xml:space="preserve">_____________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680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ahoma">
    <w:panose1 w:val="020B0604030504040204"/>
  </w:font>
  <w:font w:name="MS Mincho">
    <w:panose1 w:val="020205030504050903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jc w:val="center"/>
    </w:pPr>
    <w:fldSimple w:instr="PAGE \* MERGEFORMAT">
      <w:r>
        <w:t xml:space="preserve">1</w:t>
      </w:r>
    </w:fldSimple>
    <w:r/>
    <w:r/>
  </w:p>
  <w:p>
    <w:pPr>
      <w:pStyle w:val="9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95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95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955"/>
    <w:lvl w:ilvl="0">
      <w:start w:val="1"/>
      <w:numFmt w:val="decimal"/>
      <w:pStyle w:val="955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899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table of figures"/>
    <w:basedOn w:val="872"/>
    <w:next w:val="872"/>
    <w:uiPriority w:val="99"/>
    <w:unhideWhenUsed/>
    <w:pPr>
      <w:spacing w:after="0" w:afterAutospacing="0"/>
    </w:pPr>
  </w:style>
  <w:style w:type="character" w:styleId="717">
    <w:name w:val="Endnote Text Char"/>
    <w:link w:val="966"/>
    <w:uiPriority w:val="99"/>
    <w:rPr>
      <w:sz w:val="20"/>
    </w:rPr>
  </w:style>
  <w:style w:type="character" w:styleId="718">
    <w:name w:val="Heading 1 Char"/>
    <w:basedOn w:val="882"/>
    <w:link w:val="873"/>
    <w:uiPriority w:val="9"/>
    <w:rPr>
      <w:rFonts w:ascii="Arial" w:hAnsi="Arial" w:eastAsia="Arial" w:cs="Arial"/>
      <w:sz w:val="40"/>
      <w:szCs w:val="40"/>
    </w:rPr>
  </w:style>
  <w:style w:type="character" w:styleId="719">
    <w:name w:val="Heading 2 Char"/>
    <w:basedOn w:val="882"/>
    <w:link w:val="874"/>
    <w:uiPriority w:val="9"/>
    <w:rPr>
      <w:rFonts w:ascii="Arial" w:hAnsi="Arial" w:eastAsia="Arial" w:cs="Arial"/>
      <w:sz w:val="34"/>
    </w:rPr>
  </w:style>
  <w:style w:type="character" w:styleId="720">
    <w:name w:val="Heading 3 Char"/>
    <w:basedOn w:val="882"/>
    <w:link w:val="875"/>
    <w:uiPriority w:val="9"/>
    <w:rPr>
      <w:rFonts w:ascii="Arial" w:hAnsi="Arial" w:eastAsia="Arial" w:cs="Arial"/>
      <w:sz w:val="30"/>
      <w:szCs w:val="30"/>
    </w:rPr>
  </w:style>
  <w:style w:type="character" w:styleId="721">
    <w:name w:val="Heading 4 Char"/>
    <w:basedOn w:val="882"/>
    <w:link w:val="876"/>
    <w:uiPriority w:val="9"/>
    <w:rPr>
      <w:rFonts w:ascii="Arial" w:hAnsi="Arial" w:eastAsia="Arial" w:cs="Arial"/>
      <w:b/>
      <w:bCs/>
      <w:sz w:val="26"/>
      <w:szCs w:val="26"/>
    </w:rPr>
  </w:style>
  <w:style w:type="character" w:styleId="722">
    <w:name w:val="Heading 5 Char"/>
    <w:basedOn w:val="882"/>
    <w:link w:val="877"/>
    <w:uiPriority w:val="9"/>
    <w:rPr>
      <w:rFonts w:ascii="Arial" w:hAnsi="Arial" w:eastAsia="Arial" w:cs="Arial"/>
      <w:b/>
      <w:bCs/>
      <w:sz w:val="24"/>
      <w:szCs w:val="24"/>
    </w:rPr>
  </w:style>
  <w:style w:type="character" w:styleId="723">
    <w:name w:val="Heading 6 Char"/>
    <w:basedOn w:val="882"/>
    <w:link w:val="878"/>
    <w:uiPriority w:val="9"/>
    <w:rPr>
      <w:rFonts w:ascii="Arial" w:hAnsi="Arial" w:eastAsia="Arial" w:cs="Arial"/>
      <w:b/>
      <w:bCs/>
      <w:sz w:val="22"/>
      <w:szCs w:val="22"/>
    </w:rPr>
  </w:style>
  <w:style w:type="character" w:styleId="724">
    <w:name w:val="Heading 7 Char"/>
    <w:basedOn w:val="882"/>
    <w:link w:val="8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8 Char"/>
    <w:basedOn w:val="882"/>
    <w:link w:val="880"/>
    <w:uiPriority w:val="9"/>
    <w:rPr>
      <w:rFonts w:ascii="Arial" w:hAnsi="Arial" w:eastAsia="Arial" w:cs="Arial"/>
      <w:i/>
      <w:iCs/>
      <w:sz w:val="22"/>
      <w:szCs w:val="22"/>
    </w:rPr>
  </w:style>
  <w:style w:type="character" w:styleId="726">
    <w:name w:val="Heading 9 Char"/>
    <w:basedOn w:val="882"/>
    <w:link w:val="881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No Spacing"/>
    <w:uiPriority w:val="1"/>
    <w:qFormat/>
    <w:pPr>
      <w:spacing w:before="0" w:after="0" w:line="240" w:lineRule="auto"/>
    </w:pPr>
  </w:style>
  <w:style w:type="paragraph" w:styleId="728">
    <w:name w:val="Title"/>
    <w:basedOn w:val="872"/>
    <w:next w:val="872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basedOn w:val="882"/>
    <w:link w:val="728"/>
    <w:uiPriority w:val="10"/>
    <w:rPr>
      <w:sz w:val="48"/>
      <w:szCs w:val="48"/>
    </w:rPr>
  </w:style>
  <w:style w:type="paragraph" w:styleId="730">
    <w:name w:val="Subtitle"/>
    <w:basedOn w:val="872"/>
    <w:next w:val="872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2"/>
    <w:link w:val="730"/>
    <w:uiPriority w:val="11"/>
    <w:rPr>
      <w:sz w:val="24"/>
      <w:szCs w:val="24"/>
    </w:rPr>
  </w:style>
  <w:style w:type="paragraph" w:styleId="732">
    <w:name w:val="Quote"/>
    <w:basedOn w:val="872"/>
    <w:next w:val="872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72"/>
    <w:next w:val="872"/>
    <w:link w:val="735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character" w:styleId="736">
    <w:name w:val="Header Char"/>
    <w:basedOn w:val="882"/>
    <w:link w:val="900"/>
    <w:uiPriority w:val="99"/>
  </w:style>
  <w:style w:type="character" w:styleId="737">
    <w:name w:val="Footer Char"/>
    <w:basedOn w:val="882"/>
    <w:link w:val="902"/>
    <w:uiPriority w:val="99"/>
  </w:style>
  <w:style w:type="paragraph" w:styleId="738">
    <w:name w:val="Caption"/>
    <w:basedOn w:val="872"/>
    <w:next w:val="8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>
    <w:name w:val="Caption Char"/>
    <w:basedOn w:val="738"/>
    <w:link w:val="902"/>
    <w:uiPriority w:val="99"/>
  </w:style>
  <w:style w:type="table" w:styleId="740">
    <w:name w:val="Table Grid Light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9">
    <w:name w:val="List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0">
    <w:name w:val="List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1">
    <w:name w:val="List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2">
    <w:name w:val="List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3">
    <w:name w:val="List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4">
    <w:name w:val="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5">
    <w:name w:val="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6">
    <w:name w:val="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7">
    <w:name w:val="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8">
    <w:name w:val="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9">
    <w:name w:val="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0">
    <w:name w:val="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1">
    <w:name w:val="Bordered &amp; 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2">
    <w:name w:val="Bordered &amp; 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3">
    <w:name w:val="Bordered &amp; 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4">
    <w:name w:val="Bordered &amp; 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5">
    <w:name w:val="Bordered &amp; 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6">
    <w:name w:val="Bordered &amp; 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7">
    <w:name w:val="Bordered &amp; 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58">
    <w:name w:val="Bordered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5">
    <w:name w:val="Footnote Text Char"/>
    <w:link w:val="922"/>
    <w:uiPriority w:val="99"/>
    <w:rPr>
      <w:sz w:val="18"/>
    </w:rPr>
  </w:style>
  <w:style w:type="paragraph" w:styleId="866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3">
    <w:name w:val="Heading 1"/>
    <w:basedOn w:val="872"/>
    <w:next w:val="872"/>
    <w:link w:val="885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74">
    <w:name w:val="Heading 2"/>
    <w:basedOn w:val="872"/>
    <w:next w:val="872"/>
    <w:link w:val="886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75">
    <w:name w:val="Heading 3"/>
    <w:basedOn w:val="872"/>
    <w:next w:val="872"/>
    <w:link w:val="887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876">
    <w:name w:val="Heading 4"/>
    <w:basedOn w:val="872"/>
    <w:next w:val="872"/>
    <w:link w:val="888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77">
    <w:name w:val="Heading 5"/>
    <w:basedOn w:val="872"/>
    <w:next w:val="872"/>
    <w:link w:val="889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878">
    <w:name w:val="Heading 6"/>
    <w:basedOn w:val="872"/>
    <w:next w:val="872"/>
    <w:link w:val="890"/>
    <w:uiPriority w:val="9"/>
    <w:qFormat/>
    <w:pPr>
      <w:ind w:firstLine="709"/>
      <w:jc w:val="right"/>
      <w:keepNext/>
      <w:outlineLvl w:val="5"/>
    </w:pPr>
    <w:rPr>
      <w:b/>
      <w:sz w:val="26"/>
      <w:szCs w:val="26"/>
    </w:rPr>
  </w:style>
  <w:style w:type="paragraph" w:styleId="879">
    <w:name w:val="Heading 7"/>
    <w:basedOn w:val="872"/>
    <w:next w:val="872"/>
    <w:link w:val="891"/>
    <w:qFormat/>
    <w:pPr>
      <w:ind w:left="3469" w:hanging="1296"/>
      <w:spacing w:before="240" w:after="60"/>
      <w:tabs>
        <w:tab w:val="num" w:pos="3469" w:leader="none"/>
      </w:tabs>
      <w:outlineLvl w:val="6"/>
    </w:pPr>
  </w:style>
  <w:style w:type="paragraph" w:styleId="880">
    <w:name w:val="Heading 8"/>
    <w:basedOn w:val="872"/>
    <w:next w:val="872"/>
    <w:link w:val="892"/>
    <w:uiPriority w:val="9"/>
    <w:qFormat/>
    <w:pPr>
      <w:keepLines/>
      <w:keepNext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881">
    <w:name w:val="Heading 9"/>
    <w:basedOn w:val="872"/>
    <w:next w:val="872"/>
    <w:link w:val="893"/>
    <w:uiPriority w:val="9"/>
    <w:qFormat/>
    <w:pPr>
      <w:jc w:val="center"/>
      <w:keepNext/>
      <w:outlineLvl w:val="8"/>
    </w:pPr>
    <w:rPr>
      <w:bCs/>
      <w:i/>
      <w:iCs/>
      <w:sz w:val="26"/>
      <w:szCs w:val="26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character" w:styleId="885" w:customStyle="1">
    <w:name w:val="Заголовок 1 Знак"/>
    <w:basedOn w:val="882"/>
    <w:link w:val="873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886" w:customStyle="1">
    <w:name w:val="Заголовок 2 Знак"/>
    <w:basedOn w:val="882"/>
    <w:link w:val="874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887" w:customStyle="1">
    <w:name w:val="Заголовок 3 Знак"/>
    <w:basedOn w:val="882"/>
    <w:link w:val="875"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character" w:styleId="888" w:customStyle="1">
    <w:name w:val="Заголовок 4 Знак"/>
    <w:basedOn w:val="882"/>
    <w:link w:val="876"/>
    <w:uiPriority w:val="9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889" w:customStyle="1">
    <w:name w:val="Заголовок 5 Знак"/>
    <w:basedOn w:val="882"/>
    <w:link w:val="877"/>
    <w:uiPriority w:val="9"/>
    <w:rPr>
      <w:rFonts w:ascii="Times New Roman" w:hAnsi="Times New Roman" w:eastAsia="Times New Roman" w:cs="Times New Roman"/>
      <w:b/>
      <w:i/>
      <w:sz w:val="26"/>
      <w:szCs w:val="26"/>
      <w:lang w:eastAsia="ru-RU"/>
    </w:rPr>
  </w:style>
  <w:style w:type="character" w:styleId="890" w:customStyle="1">
    <w:name w:val="Заголовок 6 Знак"/>
    <w:basedOn w:val="882"/>
    <w:link w:val="878"/>
    <w:uiPriority w:val="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891" w:customStyle="1">
    <w:name w:val="Заголовок 7 Знак"/>
    <w:basedOn w:val="882"/>
    <w:link w:val="87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2" w:customStyle="1">
    <w:name w:val="Заголовок 8 Знак"/>
    <w:basedOn w:val="882"/>
    <w:link w:val="880"/>
    <w:uiPriority w:val="9"/>
    <w:rPr>
      <w:rFonts w:ascii="Cambria" w:hAnsi="Cambria" w:eastAsia="Times New Roman" w:cs="Times New Roman"/>
      <w:color w:val="404040"/>
      <w:sz w:val="20"/>
      <w:szCs w:val="20"/>
      <w:lang w:eastAsia="ru-RU"/>
    </w:rPr>
  </w:style>
  <w:style w:type="character" w:styleId="893" w:customStyle="1">
    <w:name w:val="Заголовок 9 Знак"/>
    <w:basedOn w:val="882"/>
    <w:link w:val="881"/>
    <w:uiPriority w:val="9"/>
    <w:rPr>
      <w:rFonts w:ascii="Times New Roman" w:hAnsi="Times New Roman" w:eastAsia="Times New Roman" w:cs="Times New Roman"/>
      <w:bCs/>
      <w:i/>
      <w:iCs/>
      <w:sz w:val="26"/>
      <w:szCs w:val="26"/>
      <w:lang w:eastAsia="ru-RU"/>
    </w:rPr>
  </w:style>
  <w:style w:type="paragraph" w:styleId="894" w:customStyle="1">
    <w:name w:val="заголовок 11"/>
    <w:basedOn w:val="872"/>
    <w:next w:val="872"/>
    <w:pPr>
      <w:jc w:val="center"/>
      <w:keepNext/>
    </w:pPr>
    <w:rPr>
      <w:sz w:val="20"/>
      <w:szCs w:val="20"/>
    </w:rPr>
  </w:style>
  <w:style w:type="paragraph" w:styleId="895" w:customStyle="1">
    <w:name w:val="rvps1"/>
    <w:basedOn w:val="872"/>
    <w:pPr>
      <w:jc w:val="center"/>
    </w:pPr>
  </w:style>
  <w:style w:type="character" w:styleId="896">
    <w:name w:val="Hyperlink"/>
    <w:uiPriority w:val="99"/>
    <w:unhideWhenUsed/>
    <w:rPr>
      <w:color w:val="0000ff"/>
      <w:u w:val="single"/>
    </w:rPr>
  </w:style>
  <w:style w:type="paragraph" w:styleId="897">
    <w:name w:val="List Paragraph"/>
    <w:basedOn w:val="872"/>
    <w:uiPriority w:val="34"/>
    <w:qFormat/>
    <w:pPr>
      <w:contextualSpacing/>
      <w:ind w:left="720"/>
    </w:pPr>
  </w:style>
  <w:style w:type="paragraph" w:styleId="898">
    <w:name w:val="toc 1"/>
    <w:basedOn w:val="872"/>
    <w:next w:val="872"/>
    <w:uiPriority w:val="39"/>
    <w:qFormat/>
    <w:pPr>
      <w:ind w:left="34" w:firstLine="1"/>
      <w:jc w:val="both"/>
    </w:pPr>
  </w:style>
  <w:style w:type="paragraph" w:styleId="899">
    <w:name w:val="toc 2"/>
    <w:basedOn w:val="872"/>
    <w:next w:val="872"/>
    <w:uiPriority w:val="39"/>
    <w:qFormat/>
    <w:pPr>
      <w:numPr>
        <w:numId w:val="1"/>
      </w:numPr>
      <w:ind w:left="0"/>
      <w:tabs>
        <w:tab w:val="right" w:pos="10196" w:leader="dot"/>
      </w:tabs>
    </w:pPr>
    <w:rPr>
      <w:rFonts w:eastAsia="MS Mincho"/>
      <w:b/>
      <w:i/>
      <w:iCs/>
    </w:rPr>
  </w:style>
  <w:style w:type="paragraph" w:styleId="900">
    <w:name w:val="Header"/>
    <w:basedOn w:val="872"/>
    <w:link w:val="901"/>
    <w:unhideWhenUsed/>
    <w:pPr>
      <w:tabs>
        <w:tab w:val="center" w:pos="4677" w:leader="none"/>
        <w:tab w:val="right" w:pos="9355" w:leader="none"/>
      </w:tabs>
    </w:pPr>
  </w:style>
  <w:style w:type="character" w:styleId="901" w:customStyle="1">
    <w:name w:val="Верхний колонтитул Знак"/>
    <w:basedOn w:val="882"/>
    <w:link w:val="90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2">
    <w:name w:val="Footer"/>
    <w:basedOn w:val="872"/>
    <w:link w:val="90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3" w:customStyle="1">
    <w:name w:val="Нижний колонтитул Знак"/>
    <w:basedOn w:val="882"/>
    <w:link w:val="90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4">
    <w:name w:val="Balloon Text"/>
    <w:basedOn w:val="872"/>
    <w:link w:val="905"/>
    <w:uiPriority w:val="99"/>
    <w:semiHidden/>
    <w:unhideWhenUsed/>
    <w:rPr>
      <w:rFonts w:ascii="Tahoma" w:hAnsi="Tahoma" w:cs="Tahoma"/>
      <w:sz w:val="16"/>
      <w:szCs w:val="16"/>
    </w:rPr>
  </w:style>
  <w:style w:type="character" w:styleId="905" w:customStyle="1">
    <w:name w:val="Текст выноски Знак"/>
    <w:basedOn w:val="882"/>
    <w:link w:val="90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06">
    <w:name w:val="Table Grid"/>
    <w:basedOn w:val="883"/>
    <w:uiPriority w:val="59"/>
    <w:pPr>
      <w:spacing w:after="0" w:line="240" w:lineRule="auto"/>
    </w:pPr>
    <w:rPr>
      <w:rFonts w:ascii="Times New Roman" w:hAnsi="Times New Roman" w:eastAsia="Calibri" w:cs="Arial"/>
      <w:color w:val="000000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7">
    <w:name w:val="Normal (Web)"/>
    <w:basedOn w:val="872"/>
    <w:link w:val="947"/>
    <w:uiPriority w:val="99"/>
    <w:pPr>
      <w:spacing w:before="100" w:beforeAutospacing="1" w:after="100" w:afterAutospacing="1"/>
    </w:pPr>
  </w:style>
  <w:style w:type="paragraph" w:styleId="908" w:customStyle="1">
    <w:name w:val="Times 12"/>
    <w:basedOn w:val="872"/>
    <w:uiPriority w:val="99"/>
    <w:qFormat/>
    <w:pPr>
      <w:ind w:firstLine="567"/>
      <w:jc w:val="both"/>
    </w:pPr>
    <w:rPr>
      <w:bCs/>
      <w:sz w:val="22"/>
      <w:szCs w:val="22"/>
    </w:rPr>
  </w:style>
  <w:style w:type="paragraph" w:styleId="909" w:customStyle="1">
    <w:name w:val="rvps9"/>
    <w:basedOn w:val="872"/>
    <w:pPr>
      <w:jc w:val="both"/>
    </w:pPr>
  </w:style>
  <w:style w:type="paragraph" w:styleId="910" w:customStyle="1">
    <w:name w:val="Стиль3"/>
    <w:basedOn w:val="911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sz w:val="20"/>
      <w:szCs w:val="20"/>
    </w:rPr>
  </w:style>
  <w:style w:type="paragraph" w:styleId="911">
    <w:name w:val="Body Text Indent 2"/>
    <w:basedOn w:val="872"/>
    <w:link w:val="912"/>
    <w:uiPriority w:val="99"/>
    <w:semiHidden/>
    <w:unhideWhenUsed/>
    <w:pPr>
      <w:ind w:left="283"/>
      <w:spacing w:after="120" w:line="480" w:lineRule="auto"/>
    </w:pPr>
  </w:style>
  <w:style w:type="character" w:styleId="912" w:customStyle="1">
    <w:name w:val="Основной текст с отступом 2 Знак"/>
    <w:basedOn w:val="882"/>
    <w:link w:val="91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>
    <w:name w:val="Plain Text"/>
    <w:basedOn w:val="872"/>
    <w:link w:val="914"/>
    <w:rPr>
      <w:rFonts w:ascii="Courier New" w:hAnsi="Courier New"/>
      <w:sz w:val="20"/>
      <w:szCs w:val="20"/>
    </w:rPr>
  </w:style>
  <w:style w:type="character" w:styleId="914" w:customStyle="1">
    <w:name w:val="Текст Знак"/>
    <w:basedOn w:val="882"/>
    <w:link w:val="913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15" w:customStyle="1">
    <w:name w:val="Таблица шапка"/>
    <w:basedOn w:val="872"/>
    <w:pPr>
      <w:ind w:left="57" w:right="57"/>
      <w:keepNext/>
      <w:spacing w:before="40" w:after="40"/>
    </w:pPr>
    <w:rPr>
      <w:sz w:val="22"/>
      <w:szCs w:val="20"/>
    </w:rPr>
  </w:style>
  <w:style w:type="paragraph" w:styleId="916" w:customStyle="1">
    <w:name w:val="Таблица текст"/>
    <w:basedOn w:val="872"/>
    <w:pPr>
      <w:ind w:left="57" w:right="57"/>
      <w:spacing w:before="40" w:after="40"/>
    </w:pPr>
    <w:rPr>
      <w:sz w:val="20"/>
      <w:szCs w:val="20"/>
    </w:rPr>
  </w:style>
  <w:style w:type="character" w:styleId="917" w:customStyle="1">
    <w:name w:val="Ариал Знак1"/>
    <w:link w:val="918"/>
    <w:rPr>
      <w:rFonts w:ascii="Arial" w:hAnsi="Arial" w:cs="Arial"/>
    </w:rPr>
  </w:style>
  <w:style w:type="paragraph" w:styleId="918" w:customStyle="1">
    <w:name w:val="Ариал"/>
    <w:basedOn w:val="872"/>
    <w:link w:val="917"/>
    <w:pPr>
      <w:ind w:firstLine="851"/>
      <w:jc w:val="both"/>
      <w:spacing w:before="120" w:after="120" w:line="360" w:lineRule="auto"/>
    </w:pPr>
    <w:rPr>
      <w:rFonts w:ascii="Arial" w:hAnsi="Arial" w:eastAsia="Calibri" w:cs="Arial"/>
      <w:sz w:val="22"/>
      <w:szCs w:val="22"/>
      <w:lang w:eastAsia="en-US"/>
    </w:rPr>
  </w:style>
  <w:style w:type="paragraph" w:styleId="919" w:customStyle="1">
    <w:name w:val="Пункт б/н"/>
    <w:basedOn w:val="872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920" w:customStyle="1">
    <w:name w:val="Ариал Таблица Знак"/>
    <w:link w:val="921"/>
    <w:rPr>
      <w:rFonts w:ascii="Arial" w:hAnsi="Arial" w:cs="Arial"/>
    </w:rPr>
  </w:style>
  <w:style w:type="paragraph" w:styleId="921" w:customStyle="1">
    <w:name w:val="Ариал Таблица"/>
    <w:basedOn w:val="918"/>
    <w:link w:val="920"/>
    <w:pPr>
      <w:ind w:firstLine="0"/>
      <w:spacing w:before="0" w:after="0" w:line="240" w:lineRule="auto"/>
      <w:widowControl w:val="off"/>
    </w:pPr>
  </w:style>
  <w:style w:type="paragraph" w:styleId="922">
    <w:name w:val="footnote text"/>
    <w:basedOn w:val="872"/>
    <w:link w:val="923"/>
    <w:unhideWhenUsed/>
    <w:rPr>
      <w:sz w:val="20"/>
      <w:szCs w:val="20"/>
    </w:rPr>
  </w:style>
  <w:style w:type="character" w:styleId="923" w:customStyle="1">
    <w:name w:val="Текст сноски Знак"/>
    <w:basedOn w:val="882"/>
    <w:link w:val="92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4">
    <w:name w:val="footnote reference"/>
    <w:unhideWhenUsed/>
    <w:rPr>
      <w:vertAlign w:val="superscript"/>
    </w:rPr>
  </w:style>
  <w:style w:type="paragraph" w:styleId="925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26">
    <w:name w:val="page number"/>
    <w:basedOn w:val="882"/>
  </w:style>
  <w:style w:type="paragraph" w:styleId="927" w:customStyle="1">
    <w:name w:val="rvps46"/>
    <w:basedOn w:val="872"/>
    <w:pPr>
      <w:spacing w:before="120" w:after="120"/>
    </w:pPr>
  </w:style>
  <w:style w:type="character" w:styleId="928">
    <w:name w:val="annotation reference"/>
    <w:uiPriority w:val="99"/>
    <w:unhideWhenUsed/>
    <w:rPr>
      <w:sz w:val="16"/>
      <w:szCs w:val="16"/>
    </w:rPr>
  </w:style>
  <w:style w:type="paragraph" w:styleId="929">
    <w:name w:val="annotation text"/>
    <w:basedOn w:val="872"/>
    <w:link w:val="930"/>
    <w:uiPriority w:val="99"/>
    <w:unhideWhenUsed/>
    <w:rPr>
      <w:sz w:val="20"/>
      <w:szCs w:val="20"/>
    </w:rPr>
  </w:style>
  <w:style w:type="character" w:styleId="930" w:customStyle="1">
    <w:name w:val="Текст примечания Знак"/>
    <w:basedOn w:val="882"/>
    <w:link w:val="92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1">
    <w:name w:val="annotation subject"/>
    <w:basedOn w:val="929"/>
    <w:next w:val="929"/>
    <w:link w:val="932"/>
    <w:uiPriority w:val="99"/>
    <w:semiHidden/>
    <w:unhideWhenUsed/>
    <w:rPr>
      <w:b/>
      <w:bCs/>
    </w:rPr>
  </w:style>
  <w:style w:type="character" w:styleId="932" w:customStyle="1">
    <w:name w:val="Тема примечания Знак"/>
    <w:basedOn w:val="930"/>
    <w:link w:val="93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33">
    <w:name w:val="Body Text Indent"/>
    <w:basedOn w:val="872"/>
    <w:link w:val="934"/>
    <w:uiPriority w:val="99"/>
    <w:unhideWhenUsed/>
    <w:pPr>
      <w:ind w:firstLine="567"/>
      <w:jc w:val="both"/>
    </w:pPr>
    <w:rPr>
      <w:b/>
      <w:sz w:val="26"/>
      <w:szCs w:val="26"/>
    </w:rPr>
  </w:style>
  <w:style w:type="character" w:styleId="934" w:customStyle="1">
    <w:name w:val="Основной текст с отступом Знак"/>
    <w:basedOn w:val="882"/>
    <w:link w:val="933"/>
    <w:uiPriority w:val="9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935">
    <w:name w:val="Body Text"/>
    <w:basedOn w:val="872"/>
    <w:link w:val="936"/>
    <w:uiPriority w:val="99"/>
    <w:unhideWhenUsed/>
    <w:rPr>
      <w:i/>
      <w:sz w:val="26"/>
      <w:szCs w:val="26"/>
    </w:rPr>
  </w:style>
  <w:style w:type="character" w:styleId="936" w:customStyle="1">
    <w:name w:val="Основной текст Знак"/>
    <w:basedOn w:val="882"/>
    <w:link w:val="935"/>
    <w:uiPriority w:val="99"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paragraph" w:styleId="937">
    <w:name w:val="Body Text 2"/>
    <w:basedOn w:val="872"/>
    <w:link w:val="938"/>
    <w:uiPriority w:val="99"/>
    <w:unhideWhenUsed/>
    <w:rPr>
      <w:i/>
      <w:color w:val="ff0000"/>
      <w:sz w:val="26"/>
      <w:szCs w:val="26"/>
    </w:rPr>
  </w:style>
  <w:style w:type="character" w:styleId="938" w:customStyle="1">
    <w:name w:val="Основной текст 2 Знак"/>
    <w:basedOn w:val="882"/>
    <w:link w:val="937"/>
    <w:uiPriority w:val="99"/>
    <w:rPr>
      <w:rFonts w:ascii="Times New Roman" w:hAnsi="Times New Roman" w:eastAsia="Times New Roman" w:cs="Times New Roman"/>
      <w:i/>
      <w:color w:val="ff0000"/>
      <w:sz w:val="26"/>
      <w:szCs w:val="26"/>
      <w:lang w:eastAsia="ru-RU"/>
    </w:rPr>
  </w:style>
  <w:style w:type="paragraph" w:styleId="939" w:customStyle="1">
    <w:name w:val="Пункт"/>
    <w:basedOn w:val="872"/>
    <w:pPr>
      <w:ind w:left="1404" w:hanging="504"/>
      <w:jc w:val="both"/>
      <w:tabs>
        <w:tab w:val="num" w:pos="1980" w:leader="none"/>
      </w:tabs>
    </w:pPr>
    <w:rPr>
      <w:sz w:val="28"/>
      <w:szCs w:val="28"/>
    </w:rPr>
  </w:style>
  <w:style w:type="paragraph" w:styleId="940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41">
    <w:name w:val="TOC Heading"/>
    <w:basedOn w:val="873"/>
    <w:next w:val="872"/>
    <w:uiPriority w:val="39"/>
    <w:qFormat/>
    <w:pPr>
      <w:spacing w:line="276" w:lineRule="auto"/>
      <w:outlineLvl w:val="9"/>
    </w:pPr>
  </w:style>
  <w:style w:type="paragraph" w:styleId="942">
    <w:name w:val="toc 3"/>
    <w:basedOn w:val="872"/>
    <w:next w:val="872"/>
    <w:uiPriority w:val="39"/>
    <w:unhideWhenUsed/>
    <w:qFormat/>
    <w:pPr>
      <w:ind w:left="440"/>
      <w:spacing w:after="100" w:line="276" w:lineRule="auto"/>
    </w:pPr>
    <w:rPr>
      <w:rFonts w:ascii="Calibri" w:hAnsi="Calibri"/>
      <w:sz w:val="22"/>
      <w:szCs w:val="22"/>
    </w:rPr>
  </w:style>
  <w:style w:type="paragraph" w:styleId="943">
    <w:name w:val="Body Text 3"/>
    <w:basedOn w:val="872"/>
    <w:link w:val="944"/>
    <w:uiPriority w:val="99"/>
    <w:unhideWhenUsed/>
    <w:rPr>
      <w:sz w:val="26"/>
      <w:szCs w:val="26"/>
    </w:rPr>
  </w:style>
  <w:style w:type="character" w:styleId="944" w:customStyle="1">
    <w:name w:val="Основной текст 3 Знак"/>
    <w:basedOn w:val="882"/>
    <w:link w:val="943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945">
    <w:name w:val="Body Text Indent 3"/>
    <w:basedOn w:val="872"/>
    <w:link w:val="946"/>
    <w:uiPriority w:val="99"/>
    <w:unhideWhenUsed/>
    <w:pPr>
      <w:ind w:left="16"/>
      <w:jc w:val="both"/>
      <w:tabs>
        <w:tab w:val="num" w:pos="1200" w:leader="none"/>
      </w:tabs>
    </w:pPr>
    <w:rPr>
      <w:i/>
      <w:color w:val="808080"/>
    </w:rPr>
  </w:style>
  <w:style w:type="character" w:styleId="946" w:customStyle="1">
    <w:name w:val="Основной текст с отступом 3 Знак"/>
    <w:basedOn w:val="882"/>
    <w:link w:val="945"/>
    <w:uiPriority w:val="99"/>
    <w:rPr>
      <w:rFonts w:ascii="Times New Roman" w:hAnsi="Times New Roman" w:eastAsia="Times New Roman" w:cs="Times New Roman"/>
      <w:i/>
      <w:color w:val="808080"/>
      <w:sz w:val="24"/>
      <w:szCs w:val="24"/>
      <w:lang w:eastAsia="ru-RU"/>
    </w:rPr>
  </w:style>
  <w:style w:type="character" w:styleId="947" w:customStyle="1">
    <w:name w:val="Обычный (Интернет) Знак"/>
    <w:link w:val="90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Block Text"/>
    <w:basedOn w:val="872"/>
    <w:uiPriority w:val="99"/>
    <w:unhideWhenUsed/>
    <w:pPr>
      <w:contextualSpacing/>
      <w:ind w:left="16" w:right="113"/>
      <w:jc w:val="both"/>
      <w:spacing w:after="200" w:line="276" w:lineRule="auto"/>
      <w:tabs>
        <w:tab w:val="left" w:pos="16" w:leader="none"/>
      </w:tabs>
    </w:pPr>
    <w:rPr>
      <w:sz w:val="26"/>
      <w:szCs w:val="26"/>
      <w:lang w:eastAsia="en-US"/>
    </w:rPr>
  </w:style>
  <w:style w:type="paragraph" w:styleId="949" w:customStyle="1">
    <w:name w:val="çàãîëîâîê 2"/>
    <w:basedOn w:val="872"/>
    <w:next w:val="872"/>
    <w:pPr>
      <w:jc w:val="both"/>
      <w:keepNext/>
    </w:pPr>
    <w:rPr>
      <w:sz w:val="20"/>
      <w:szCs w:val="20"/>
      <w:lang w:val="en-GB"/>
    </w:rPr>
  </w:style>
  <w:style w:type="paragraph" w:styleId="950" w:customStyle="1">
    <w:name w:val="Абзац списка1"/>
    <w:basedOn w:val="872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51" w:customStyle="1">
    <w:name w:val="Текст документа"/>
    <w:basedOn w:val="872"/>
    <w:link w:val="952"/>
    <w:uiPriority w:val="99"/>
    <w:pPr>
      <w:ind w:firstLine="720"/>
      <w:jc w:val="both"/>
      <w:spacing w:line="360" w:lineRule="auto"/>
    </w:pPr>
  </w:style>
  <w:style w:type="character" w:styleId="952" w:customStyle="1">
    <w:name w:val="Текст документа Знак"/>
    <w:link w:val="95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3">
    <w:name w:val="FollowedHyperlink"/>
    <w:uiPriority w:val="99"/>
    <w:semiHidden/>
    <w:unhideWhenUsed/>
    <w:rPr>
      <w:color w:val="800080"/>
      <w:u w:val="single"/>
    </w:rPr>
  </w:style>
  <w:style w:type="paragraph" w:styleId="954" w:customStyle="1">
    <w:name w:val="Default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numbering" w:styleId="955" w:customStyle="1">
    <w:name w:val="Стиль4"/>
    <w:pPr>
      <w:numPr>
        <w:numId w:val="2"/>
      </w:numPr>
    </w:pPr>
  </w:style>
  <w:style w:type="paragraph" w:styleId="956" w:customStyle="1">
    <w:name w:val="Char Char4 Знак Знак Char Char Знак Знак Char Char Знак Char Char"/>
    <w:basedOn w:val="872"/>
    <w:semiHidden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5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8" w:customStyle="1">
    <w:name w:val="NVG Bullet"/>
    <w:basedOn w:val="872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styleId="959" w:customStyle="1">
    <w:name w:val="Текст_бюл"/>
    <w:basedOn w:val="913"/>
    <w:link w:val="960"/>
    <w:pPr>
      <w:numPr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960" w:customStyle="1">
    <w:name w:val="Текст_бюл Знак"/>
    <w:link w:val="959"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961" w:customStyle="1">
    <w:name w:val="Font Style29"/>
    <w:basedOn w:val="882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962" w:customStyle="1">
    <w:name w:val="Style14"/>
    <w:basedOn w:val="872"/>
    <w:uiPriority w:val="99"/>
    <w:pPr>
      <w:ind w:firstLine="581"/>
      <w:jc w:val="both"/>
      <w:spacing w:line="344" w:lineRule="exact"/>
      <w:widowControl w:val="off"/>
    </w:pPr>
    <w:rPr>
      <w:rFonts w:eastAsia="Calibri"/>
    </w:rPr>
  </w:style>
  <w:style w:type="paragraph" w:styleId="963" w:customStyle="1">
    <w:name w:val="Термин"/>
    <w:basedOn w:val="913"/>
    <w:pPr>
      <w:ind w:left="567"/>
      <w:jc w:val="both"/>
    </w:pPr>
    <w:rPr>
      <w:rFonts w:ascii="Times New Roman" w:hAnsi="Times New Roman" w:cs="Courier New"/>
      <w:sz w:val="26"/>
    </w:rPr>
  </w:style>
  <w:style w:type="paragraph" w:styleId="964">
    <w:name w:val="List Bullet 3"/>
    <w:basedOn w:val="872"/>
    <w:pPr>
      <w:jc w:val="both"/>
      <w:tabs>
        <w:tab w:val="left" w:pos="-108" w:leader="none"/>
      </w:tabs>
    </w:pPr>
    <w:rPr>
      <w:rFonts w:ascii="Arial" w:hAnsi="Arial" w:cs="Arial"/>
      <w:bCs/>
      <w:sz w:val="22"/>
      <w:szCs w:val="22"/>
    </w:rPr>
  </w:style>
  <w:style w:type="paragraph" w:styleId="965" w:customStyle="1">
    <w:name w:val="western"/>
    <w:basedOn w:val="872"/>
    <w:pPr>
      <w:spacing w:before="100" w:beforeAutospacing="1" w:after="100" w:afterAutospacing="1"/>
    </w:pPr>
  </w:style>
  <w:style w:type="paragraph" w:styleId="966">
    <w:name w:val="endnote text"/>
    <w:basedOn w:val="872"/>
    <w:link w:val="967"/>
    <w:uiPriority w:val="99"/>
    <w:semiHidden/>
    <w:unhideWhenUsed/>
    <w:rPr>
      <w:sz w:val="20"/>
      <w:szCs w:val="20"/>
    </w:rPr>
  </w:style>
  <w:style w:type="character" w:styleId="967" w:customStyle="1">
    <w:name w:val="Текст концевой сноски Знак"/>
    <w:basedOn w:val="882"/>
    <w:link w:val="96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68">
    <w:name w:val="endnote reference"/>
    <w:basedOn w:val="882"/>
    <w:uiPriority w:val="99"/>
    <w:semiHidden/>
    <w:unhideWhenUsed/>
    <w:rPr>
      <w:vertAlign w:val="superscript"/>
    </w:rPr>
  </w:style>
  <w:style w:type="character" w:styleId="969">
    <w:name w:val="Strong"/>
    <w:basedOn w:val="882"/>
    <w:uiPriority w:val="22"/>
    <w:qFormat/>
    <w:rPr>
      <w:b/>
      <w:bCs/>
    </w:rPr>
  </w:style>
  <w:style w:type="paragraph" w:styleId="970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 w:fill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u w:val="none"/>
      <w:vertAlign w:val="baseline"/>
      <w:rtl w:val="0"/>
      <w:cs w:val="0"/>
      <w:lang w:val="ru-RU" w:eastAsia="ru-RU" w:bidi="ar-SA"/>
    </w:rPr>
  </w:style>
  <w:style w:type="paragraph" w:styleId="971">
    <w:name w:val="Основной текст 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 w:fill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rtl w:val="0"/>
      <w:cs w:val="0"/>
      <w:lang w:val="ru-RU" w:eastAsia="ru-RU" w:bidi="ar-SA"/>
    </w:rPr>
  </w:style>
  <w:style w:type="paragraph" w:styleId="972">
    <w:name w:val="Основной текст"/>
    <w:basedOn w:val="758"/>
    <w:next w:val="773"/>
    <w:link w:val="774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</w:rPr>
  </w:style>
  <w:style w:type="paragraph" w:styleId="973">
    <w:name w:val="rezul"/>
    <w:basedOn w:val="758"/>
    <w:next w:val="803"/>
    <w:link w:val="758"/>
    <w:pPr>
      <w:contextualSpacing w:val="0"/>
      <w:ind w:left="0" w:right="0" w:firstLine="283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en-US" w:eastAsia="en-US" w:bidi="ar-SA"/>
    </w:rPr>
  </w:style>
  <w:style w:type="paragraph" w:styleId="974">
    <w:name w:val="TextBoldCenter"/>
    <w:basedOn w:val="758"/>
    <w:next w:val="768"/>
    <w:link w:val="758"/>
    <w:pPr>
      <w:contextualSpacing w:val="0"/>
      <w:ind w:left="0" w:right="0" w:firstLine="0"/>
      <w:jc w:val="center"/>
      <w:keepLines w:val="0"/>
      <w:keepNext w:val="0"/>
      <w:pageBreakBefore w:val="0"/>
      <w:spacing w:before="283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975">
    <w:name w:val="TextBasTxt"/>
    <w:basedOn w:val="758"/>
    <w:next w:val="769"/>
    <w:link w:val="758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976">
    <w:name w:val="Без интервала"/>
    <w:next w:val="766"/>
    <w:link w:val="80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</w:rPr>
  </w:style>
  <w:style w:type="character" w:styleId="977">
    <w:name w:val="Гиперссылка"/>
    <w:next w:val="775"/>
    <w:link w:val="758"/>
    <w:rPr>
      <w:color w:val="0000ff"/>
      <w:u w:val="single"/>
    </w:rPr>
  </w:style>
  <w:style w:type="paragraph" w:styleId="978">
    <w:name w:val="Основной текст с отступом 3"/>
    <w:basedOn w:val="758"/>
    <w:next w:val="770"/>
    <w:link w:val="771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979">
    <w:name w:val="Абзац списка"/>
    <w:basedOn w:val="758"/>
    <w:next w:val="772"/>
    <w:link w:val="786"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hyperlink" Target="mailto:ikn@adm44.ru" TargetMode="External"/><Relationship Id="rId12" Type="http://schemas.openxmlformats.org/officeDocument/2006/relationships/hyperlink" Target="mailto:dizo@kostroma.gov.ru." TargetMode="External"/><Relationship Id="rId13" Type="http://schemas.openxmlformats.org/officeDocument/2006/relationships/hyperlink" Target="http://www.rts-tender.ru" TargetMode="External"/><Relationship Id="rId14" Type="http://schemas.openxmlformats.org/officeDocument/2006/relationships/hyperlink" Target="http://www.rts-tender.ru" TargetMode="External"/><Relationship Id="rId15" Type="http://schemas.openxmlformats.org/officeDocument/2006/relationships/hyperlink" Target="http://www.rts-tender.ru" TargetMode="External"/><Relationship Id="rId16" Type="http://schemas.openxmlformats.org/officeDocument/2006/relationships/hyperlink" Target="consultantplus://offline/ref=04C69D67FA7F00F8B2D92E624E108DE4AEA01442D49672C188D2DD2BF89EA41C613D87F19E3D74ED824B5019CC5567396D673E8E60DD755Fj7Z6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Андреев Дмитрий Игоревич</dc:creator>
  <cp:revision>96</cp:revision>
  <dcterms:created xsi:type="dcterms:W3CDTF">2020-05-18T11:34:00Z</dcterms:created>
  <dcterms:modified xsi:type="dcterms:W3CDTF">2023-10-16T12:02:43Z</dcterms:modified>
</cp:coreProperties>
</file>